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982E4" w14:textId="77777777" w:rsidR="0030209B" w:rsidRPr="00652E92" w:rsidRDefault="0030209B" w:rsidP="0030209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222F3C92" w14:textId="77777777" w:rsidR="0030209B" w:rsidRPr="00652E92" w:rsidRDefault="0030209B" w:rsidP="0030209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337B6B" w14:textId="77777777" w:rsidR="0030209B" w:rsidRPr="00652E92" w:rsidRDefault="0030209B" w:rsidP="0030209B">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815</w:t>
      </w:r>
    </w:p>
    <w:p w14:paraId="17126B33" w14:textId="77777777" w:rsidR="0030209B" w:rsidRDefault="0030209B" w:rsidP="0030209B">
      <w:pPr>
        <w:widowControl w:val="0"/>
        <w:bidi/>
        <w:spacing w:after="0" w:line="252" w:lineRule="auto"/>
        <w:ind w:firstLine="284"/>
        <w:jc w:val="both"/>
        <w:rPr>
          <w:rFonts w:cs="Abz-2 (Badr)"/>
          <w:sz w:val="28"/>
          <w:szCs w:val="28"/>
          <w:rtl/>
          <w:lang w:bidi="fa-IR"/>
        </w:rPr>
      </w:pPr>
      <w:bookmarkStart w:id="0" w:name="_Hlk159096966"/>
    </w:p>
    <w:p w14:paraId="38A74743" w14:textId="77777777" w:rsidR="0030209B" w:rsidRDefault="0030209B" w:rsidP="0030209B">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گفتيم که صاحب حدائق در مدعای اصحاب مبنی بر تقدّم مادر در حضانت فرزند بعد از مرگ پدر اشکال گرفته است.</w:t>
      </w:r>
    </w:p>
    <w:p w14:paraId="0465B6FA" w14:textId="77777777" w:rsidR="0030209B" w:rsidRPr="005901FA" w:rsidRDefault="0030209B" w:rsidP="0030209B">
      <w:pPr>
        <w:pStyle w:val="NormalWeb"/>
        <w:widowControl w:val="0"/>
        <w:bidi/>
        <w:spacing w:before="0" w:beforeAutospacing="0" w:after="0" w:afterAutospacing="0" w:line="259" w:lineRule="auto"/>
        <w:ind w:firstLine="284"/>
        <w:jc w:val="both"/>
        <w:rPr>
          <w:rFonts w:cs="Abz-2 (Badr)"/>
          <w:color w:val="0070C0"/>
          <w:sz w:val="28"/>
          <w:szCs w:val="28"/>
          <w:lang w:bidi="fa-IR"/>
        </w:rPr>
      </w:pPr>
      <w:r>
        <w:rPr>
          <w:rFonts w:cs="Abz-2 (Badr)" w:hint="cs"/>
          <w:color w:val="000000" w:themeColor="text1"/>
          <w:sz w:val="28"/>
          <w:szCs w:val="28"/>
          <w:rtl/>
          <w:lang w:bidi="fa-IR"/>
        </w:rPr>
        <w:t>ايشان در اين خصوص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5901FA">
        <w:rPr>
          <w:rFonts w:cs="Abz-2 (Badr)" w:hint="cs"/>
          <w:color w:val="0070C0"/>
          <w:sz w:val="28"/>
          <w:szCs w:val="28"/>
          <w:rtl/>
          <w:lang w:bidi="fa-IR"/>
        </w:rPr>
        <w:t>«</w:t>
      </w:r>
      <w:r w:rsidRPr="005901FA">
        <w:rPr>
          <w:rFonts w:cs="Abz-2 (Badr)"/>
          <w:color w:val="0070C0"/>
          <w:sz w:val="28"/>
          <w:szCs w:val="28"/>
          <w:rtl/>
          <w:lang w:bidi="ar"/>
        </w:rPr>
        <w:t>لم أقف له على دليل في النصوص</w:t>
      </w:r>
      <w:r w:rsidRPr="005901FA">
        <w:rPr>
          <w:rFonts w:cs="Abz-2 (Badr)" w:hint="cs"/>
          <w:color w:val="0070C0"/>
          <w:sz w:val="28"/>
          <w:szCs w:val="28"/>
          <w:rtl/>
          <w:lang w:bidi="ar"/>
        </w:rPr>
        <w:t>،</w:t>
      </w:r>
      <w:r w:rsidRPr="005901FA">
        <w:rPr>
          <w:rFonts w:cs="Abz-2 (Badr)"/>
          <w:color w:val="0070C0"/>
          <w:sz w:val="28"/>
          <w:szCs w:val="28"/>
          <w:rtl/>
          <w:lang w:bidi="ar"/>
        </w:rPr>
        <w:t xml:space="preserve"> وهم أيضا</w:t>
      </w:r>
      <w:r w:rsidRPr="005901FA">
        <w:rPr>
          <w:rFonts w:cs="Abz-2 (Badr)" w:hint="cs"/>
          <w:color w:val="0070C0"/>
          <w:sz w:val="28"/>
          <w:szCs w:val="28"/>
          <w:rtl/>
          <w:lang w:bidi="ar"/>
        </w:rPr>
        <w:t>ً</w:t>
      </w:r>
      <w:r w:rsidRPr="005901FA">
        <w:rPr>
          <w:rFonts w:cs="Abz-2 (Badr)"/>
          <w:color w:val="0070C0"/>
          <w:sz w:val="28"/>
          <w:szCs w:val="28"/>
          <w:rtl/>
          <w:lang w:bidi="ar"/>
        </w:rPr>
        <w:t xml:space="preserve"> لم يذكروا له دليلا</w:t>
      </w:r>
      <w:r w:rsidRPr="005901FA">
        <w:rPr>
          <w:rFonts w:cs="Abz-2 (Badr)" w:hint="cs"/>
          <w:color w:val="0070C0"/>
          <w:sz w:val="28"/>
          <w:szCs w:val="28"/>
          <w:rtl/>
          <w:lang w:bidi="ar"/>
        </w:rPr>
        <w:t>ً</w:t>
      </w:r>
      <w:r w:rsidRPr="005901FA">
        <w:rPr>
          <w:rFonts w:cs="Abz-2 (Badr)"/>
          <w:color w:val="0070C0"/>
          <w:sz w:val="28"/>
          <w:szCs w:val="28"/>
          <w:rtl/>
          <w:lang w:bidi="ar"/>
        </w:rPr>
        <w:t xml:space="preserve"> و</w:t>
      </w:r>
      <w:r w:rsidRPr="005901FA">
        <w:rPr>
          <w:rFonts w:cs="Abz-2 (Badr)" w:hint="cs"/>
          <w:color w:val="0070C0"/>
          <w:sz w:val="28"/>
          <w:szCs w:val="28"/>
          <w:rtl/>
          <w:lang w:bidi="ar"/>
        </w:rPr>
        <w:t>إ</w:t>
      </w:r>
      <w:r w:rsidRPr="005901FA">
        <w:rPr>
          <w:rFonts w:cs="Abz-2 (Badr)"/>
          <w:color w:val="0070C0"/>
          <w:sz w:val="28"/>
          <w:szCs w:val="28"/>
          <w:rtl/>
          <w:lang w:bidi="ar"/>
        </w:rPr>
        <w:t>ن كان من الأدل</w:t>
      </w:r>
      <w:r w:rsidRPr="005901FA">
        <w:rPr>
          <w:rFonts w:cs="Abz-2 (Badr)" w:hint="cs"/>
          <w:color w:val="0070C0"/>
          <w:sz w:val="28"/>
          <w:szCs w:val="28"/>
          <w:rtl/>
          <w:lang w:bidi="ar"/>
        </w:rPr>
        <w:t>ّ</w:t>
      </w:r>
      <w:r w:rsidRPr="005901FA">
        <w:rPr>
          <w:rFonts w:cs="Abz-2 (Badr)"/>
          <w:color w:val="0070C0"/>
          <w:sz w:val="28"/>
          <w:szCs w:val="28"/>
          <w:rtl/>
          <w:lang w:bidi="ar"/>
        </w:rPr>
        <w:t>ة الاعتباري</w:t>
      </w:r>
      <w:r w:rsidRPr="005901FA">
        <w:rPr>
          <w:rFonts w:cs="Abz-2 (Badr)" w:hint="cs"/>
          <w:color w:val="0070C0"/>
          <w:sz w:val="28"/>
          <w:szCs w:val="28"/>
          <w:rtl/>
          <w:lang w:bidi="ar"/>
        </w:rPr>
        <w:t>ّ</w:t>
      </w:r>
      <w:r w:rsidRPr="005901FA">
        <w:rPr>
          <w:rFonts w:cs="Abz-2 (Badr)"/>
          <w:color w:val="0070C0"/>
          <w:sz w:val="28"/>
          <w:szCs w:val="28"/>
          <w:rtl/>
          <w:lang w:bidi="ar"/>
        </w:rPr>
        <w:t>ة الجارية في كلامهم</w:t>
      </w:r>
      <w:r w:rsidRPr="005901FA">
        <w:rPr>
          <w:rFonts w:cs="Abz-2 (Badr)" w:hint="cs"/>
          <w:color w:val="0070C0"/>
          <w:sz w:val="28"/>
          <w:szCs w:val="28"/>
          <w:rtl/>
          <w:lang w:bidi="ar"/>
        </w:rPr>
        <w:t>.</w:t>
      </w:r>
      <w:r w:rsidRPr="005901FA">
        <w:rPr>
          <w:rFonts w:cs="Abz-2 (Badr)"/>
          <w:color w:val="0070C0"/>
          <w:sz w:val="28"/>
          <w:szCs w:val="28"/>
          <w:rtl/>
          <w:lang w:bidi="ar"/>
        </w:rPr>
        <w:t xml:space="preserve"> والمقطوع به في النصوص هو أن</w:t>
      </w:r>
      <w:r w:rsidRPr="005901FA">
        <w:rPr>
          <w:rFonts w:cs="Abz-2 (Badr)" w:hint="cs"/>
          <w:color w:val="0070C0"/>
          <w:sz w:val="28"/>
          <w:szCs w:val="28"/>
          <w:rtl/>
          <w:lang w:bidi="ar"/>
        </w:rPr>
        <w:t>ّ</w:t>
      </w:r>
      <w:r w:rsidRPr="005901FA">
        <w:rPr>
          <w:rFonts w:cs="Abz-2 (Badr)"/>
          <w:color w:val="0070C0"/>
          <w:sz w:val="28"/>
          <w:szCs w:val="28"/>
          <w:rtl/>
          <w:lang w:bidi="ar"/>
        </w:rPr>
        <w:t xml:space="preserve"> الحضانة لها في مد</w:t>
      </w:r>
      <w:r w:rsidRPr="005901FA">
        <w:rPr>
          <w:rFonts w:cs="Abz-2 (Badr)" w:hint="cs"/>
          <w:color w:val="0070C0"/>
          <w:sz w:val="28"/>
          <w:szCs w:val="28"/>
          <w:rtl/>
          <w:lang w:bidi="ar"/>
        </w:rPr>
        <w:t>ّ</w:t>
      </w:r>
      <w:r w:rsidRPr="005901FA">
        <w:rPr>
          <w:rFonts w:cs="Abz-2 (Badr)"/>
          <w:color w:val="0070C0"/>
          <w:sz w:val="28"/>
          <w:szCs w:val="28"/>
          <w:rtl/>
          <w:lang w:bidi="ar"/>
        </w:rPr>
        <w:t>ة الرضاع كما تقد</w:t>
      </w:r>
      <w:r w:rsidRPr="005901FA">
        <w:rPr>
          <w:rFonts w:cs="Abz-2 (Badr)" w:hint="cs"/>
          <w:color w:val="0070C0"/>
          <w:sz w:val="28"/>
          <w:szCs w:val="28"/>
          <w:rtl/>
          <w:lang w:bidi="ar"/>
        </w:rPr>
        <w:t>ّ</w:t>
      </w:r>
      <w:r w:rsidRPr="005901FA">
        <w:rPr>
          <w:rFonts w:cs="Abz-2 (Badr)"/>
          <w:color w:val="0070C0"/>
          <w:sz w:val="28"/>
          <w:szCs w:val="28"/>
          <w:rtl/>
          <w:lang w:bidi="ar"/>
        </w:rPr>
        <w:t>م، وأن</w:t>
      </w:r>
      <w:r w:rsidRPr="005901FA">
        <w:rPr>
          <w:rFonts w:cs="Abz-2 (Badr)" w:hint="cs"/>
          <w:color w:val="0070C0"/>
          <w:sz w:val="28"/>
          <w:szCs w:val="28"/>
          <w:rtl/>
          <w:lang w:bidi="ar"/>
        </w:rPr>
        <w:t>ّ</w:t>
      </w:r>
      <w:r w:rsidRPr="005901FA">
        <w:rPr>
          <w:rFonts w:cs="Abz-2 (Badr)"/>
          <w:color w:val="0070C0"/>
          <w:sz w:val="28"/>
          <w:szCs w:val="28"/>
          <w:rtl/>
          <w:lang w:bidi="ar"/>
        </w:rPr>
        <w:t xml:space="preserve"> الأب لا يزاحمها فيها، فلو مات في هذه الحال فال</w:t>
      </w:r>
      <w:r w:rsidRPr="005901FA">
        <w:rPr>
          <w:rFonts w:cs="Abz-2 (Badr)" w:hint="cs"/>
          <w:color w:val="0070C0"/>
          <w:sz w:val="28"/>
          <w:szCs w:val="28"/>
          <w:rtl/>
          <w:lang w:bidi="ar"/>
        </w:rPr>
        <w:t>أُ</w:t>
      </w:r>
      <w:r w:rsidRPr="005901FA">
        <w:rPr>
          <w:rFonts w:cs="Abz-2 (Badr)"/>
          <w:color w:val="0070C0"/>
          <w:sz w:val="28"/>
          <w:szCs w:val="28"/>
          <w:rtl/>
          <w:lang w:bidi="ar"/>
        </w:rPr>
        <w:t>م</w:t>
      </w:r>
      <w:r w:rsidRPr="005901FA">
        <w:rPr>
          <w:rFonts w:cs="Abz-2 (Badr)" w:hint="cs"/>
          <w:color w:val="0070C0"/>
          <w:sz w:val="28"/>
          <w:szCs w:val="28"/>
          <w:rtl/>
          <w:lang w:bidi="ar"/>
        </w:rPr>
        <w:t>ّ</w:t>
      </w:r>
      <w:r w:rsidRPr="005901FA">
        <w:rPr>
          <w:rFonts w:cs="Abz-2 (Badr)"/>
          <w:color w:val="0070C0"/>
          <w:sz w:val="28"/>
          <w:szCs w:val="28"/>
          <w:rtl/>
          <w:lang w:bidi="ar"/>
        </w:rPr>
        <w:t xml:space="preserve"> باقية على ولايتها، وليس للوصي</w:t>
      </w:r>
      <w:r w:rsidRPr="005901FA">
        <w:rPr>
          <w:rFonts w:cs="Abz-2 (Badr)" w:hint="cs"/>
          <w:color w:val="0070C0"/>
          <w:sz w:val="28"/>
          <w:szCs w:val="28"/>
          <w:rtl/>
          <w:lang w:bidi="ar"/>
        </w:rPr>
        <w:t>ّ</w:t>
      </w:r>
      <w:r w:rsidRPr="005901FA">
        <w:rPr>
          <w:rFonts w:cs="Abz-2 (Badr)"/>
          <w:color w:val="0070C0"/>
          <w:sz w:val="28"/>
          <w:szCs w:val="28"/>
          <w:rtl/>
          <w:lang w:bidi="ar"/>
        </w:rPr>
        <w:t xml:space="preserve"> معارضتها</w:t>
      </w:r>
      <w:r w:rsidRPr="005901FA">
        <w:rPr>
          <w:rFonts w:cs="Abz-2 (Badr)" w:hint="cs"/>
          <w:color w:val="0070C0"/>
          <w:sz w:val="28"/>
          <w:szCs w:val="28"/>
          <w:rtl/>
          <w:lang w:bidi="ar"/>
        </w:rPr>
        <w:t>،</w:t>
      </w:r>
      <w:r w:rsidRPr="005901FA">
        <w:rPr>
          <w:rFonts w:cs="Abz-2 (Badr)"/>
          <w:color w:val="0070C0"/>
          <w:sz w:val="28"/>
          <w:szCs w:val="28"/>
          <w:rtl/>
          <w:lang w:bidi="ar"/>
        </w:rPr>
        <w:t xml:space="preserve"> لأن</w:t>
      </w:r>
      <w:r w:rsidRPr="005901FA">
        <w:rPr>
          <w:rFonts w:cs="Abz-2 (Badr)" w:hint="cs"/>
          <w:color w:val="0070C0"/>
          <w:sz w:val="28"/>
          <w:szCs w:val="28"/>
          <w:rtl/>
          <w:lang w:bidi="ar"/>
        </w:rPr>
        <w:t>ّ</w:t>
      </w:r>
      <w:r w:rsidRPr="005901FA">
        <w:rPr>
          <w:rFonts w:cs="Abz-2 (Badr)"/>
          <w:color w:val="0070C0"/>
          <w:sz w:val="28"/>
          <w:szCs w:val="28"/>
          <w:rtl/>
          <w:lang w:bidi="ar"/>
        </w:rPr>
        <w:t>ها إذا كانت في هذه الحال أولى من الأب على تقدير وجوده</w:t>
      </w:r>
      <w:r w:rsidRPr="005901FA">
        <w:rPr>
          <w:rFonts w:cs="Abz-2 (Badr)" w:hint="cs"/>
          <w:color w:val="0070C0"/>
          <w:sz w:val="28"/>
          <w:szCs w:val="28"/>
          <w:rtl/>
          <w:lang w:bidi="ar"/>
        </w:rPr>
        <w:t>،</w:t>
      </w:r>
      <w:r w:rsidRPr="005901FA">
        <w:rPr>
          <w:rFonts w:cs="Abz-2 (Badr)"/>
          <w:color w:val="0070C0"/>
          <w:sz w:val="28"/>
          <w:szCs w:val="28"/>
          <w:rtl/>
          <w:lang w:bidi="ar"/>
        </w:rPr>
        <w:t xml:space="preserve"> فهي أولى من وصي</w:t>
      </w:r>
      <w:r w:rsidRPr="005901FA">
        <w:rPr>
          <w:rFonts w:cs="Abz-2 (Badr)" w:hint="cs"/>
          <w:color w:val="0070C0"/>
          <w:sz w:val="28"/>
          <w:szCs w:val="28"/>
          <w:rtl/>
          <w:lang w:bidi="ar"/>
        </w:rPr>
        <w:t>ّ</w:t>
      </w:r>
      <w:r w:rsidRPr="005901FA">
        <w:rPr>
          <w:rFonts w:cs="Abz-2 (Badr)"/>
          <w:color w:val="0070C0"/>
          <w:sz w:val="28"/>
          <w:szCs w:val="28"/>
          <w:rtl/>
          <w:lang w:bidi="ar"/>
        </w:rPr>
        <w:t xml:space="preserve">ه بطريق الأولى مع موته. </w:t>
      </w:r>
    </w:p>
    <w:p w14:paraId="4D293BEF" w14:textId="77777777" w:rsidR="0030209B" w:rsidRPr="005901FA" w:rsidRDefault="0030209B" w:rsidP="0030209B">
      <w:pPr>
        <w:pStyle w:val="NormalWeb"/>
        <w:widowControl w:val="0"/>
        <w:bidi/>
        <w:spacing w:beforeAutospacing="0" w:afterAutospacing="0" w:line="259" w:lineRule="auto"/>
        <w:ind w:firstLine="284"/>
        <w:jc w:val="both"/>
        <w:rPr>
          <w:rFonts w:cs="Abz-2 (Badr)"/>
          <w:color w:val="000000" w:themeColor="text1"/>
          <w:sz w:val="28"/>
          <w:szCs w:val="28"/>
          <w:rtl/>
          <w:lang w:bidi="fa-IR"/>
        </w:rPr>
      </w:pPr>
      <w:r w:rsidRPr="005901FA">
        <w:rPr>
          <w:rFonts w:cs="Abz-2 (Badr)"/>
          <w:color w:val="0070C0"/>
          <w:sz w:val="28"/>
          <w:szCs w:val="28"/>
          <w:rtl/>
          <w:lang w:bidi="ar"/>
        </w:rPr>
        <w:t>وكذا في السبع في البنت على ما يد</w:t>
      </w:r>
      <w:r w:rsidRPr="005901FA">
        <w:rPr>
          <w:rFonts w:cs="Abz-2 (Badr)" w:hint="cs"/>
          <w:color w:val="0070C0"/>
          <w:sz w:val="28"/>
          <w:szCs w:val="28"/>
          <w:rtl/>
          <w:lang w:bidi="ar"/>
        </w:rPr>
        <w:t>ّ</w:t>
      </w:r>
      <w:r w:rsidRPr="005901FA">
        <w:rPr>
          <w:rFonts w:cs="Abz-2 (Badr)"/>
          <w:color w:val="0070C0"/>
          <w:sz w:val="28"/>
          <w:szCs w:val="28"/>
          <w:rtl/>
          <w:lang w:bidi="ar"/>
        </w:rPr>
        <w:t>عونه مم</w:t>
      </w:r>
      <w:r w:rsidRPr="005901FA">
        <w:rPr>
          <w:rFonts w:cs="Abz-2 (Badr)" w:hint="cs"/>
          <w:color w:val="0070C0"/>
          <w:sz w:val="28"/>
          <w:szCs w:val="28"/>
          <w:rtl/>
          <w:lang w:bidi="ar"/>
        </w:rPr>
        <w:t>ّ</w:t>
      </w:r>
      <w:r w:rsidRPr="005901FA">
        <w:rPr>
          <w:rFonts w:cs="Abz-2 (Badr)"/>
          <w:color w:val="0070C0"/>
          <w:sz w:val="28"/>
          <w:szCs w:val="28"/>
          <w:rtl/>
          <w:lang w:bidi="ar"/>
        </w:rPr>
        <w:t>ا تقد</w:t>
      </w:r>
      <w:r w:rsidRPr="005901FA">
        <w:rPr>
          <w:rFonts w:cs="Abz-2 (Badr)" w:hint="cs"/>
          <w:color w:val="0070C0"/>
          <w:sz w:val="28"/>
          <w:szCs w:val="28"/>
          <w:rtl/>
          <w:lang w:bidi="ar"/>
        </w:rPr>
        <w:t>ّ</w:t>
      </w:r>
      <w:r w:rsidRPr="005901FA">
        <w:rPr>
          <w:rFonts w:cs="Abz-2 (Badr)"/>
          <w:color w:val="0070C0"/>
          <w:sz w:val="28"/>
          <w:szCs w:val="28"/>
          <w:rtl/>
          <w:lang w:bidi="ar"/>
        </w:rPr>
        <w:t>م في كلامهم لعين ما ذكر، وأم</w:t>
      </w:r>
      <w:r w:rsidRPr="005901FA">
        <w:rPr>
          <w:rFonts w:cs="Abz-2 (Badr)" w:hint="cs"/>
          <w:color w:val="0070C0"/>
          <w:sz w:val="28"/>
          <w:szCs w:val="28"/>
          <w:rtl/>
          <w:lang w:bidi="ar"/>
        </w:rPr>
        <w:t>ّ</w:t>
      </w:r>
      <w:r w:rsidRPr="005901FA">
        <w:rPr>
          <w:rFonts w:cs="Abz-2 (Badr)"/>
          <w:color w:val="0070C0"/>
          <w:sz w:val="28"/>
          <w:szCs w:val="28"/>
          <w:rtl/>
          <w:lang w:bidi="ar"/>
        </w:rPr>
        <w:t>ا بعد هذه المد</w:t>
      </w:r>
      <w:r w:rsidRPr="005901FA">
        <w:rPr>
          <w:rFonts w:cs="Abz-2 (Badr)" w:hint="cs"/>
          <w:color w:val="0070C0"/>
          <w:sz w:val="28"/>
          <w:szCs w:val="28"/>
          <w:rtl/>
          <w:lang w:bidi="ar"/>
        </w:rPr>
        <w:t>ّ</w:t>
      </w:r>
      <w:r w:rsidRPr="005901FA">
        <w:rPr>
          <w:rFonts w:cs="Abz-2 (Badr)"/>
          <w:color w:val="0070C0"/>
          <w:sz w:val="28"/>
          <w:szCs w:val="28"/>
          <w:rtl/>
          <w:lang w:bidi="ar"/>
        </w:rPr>
        <w:t>ة فيما إذا صارت الولاية للأب</w:t>
      </w:r>
      <w:r w:rsidRPr="005901FA">
        <w:rPr>
          <w:rFonts w:cs="Abz-2 (Badr)" w:hint="cs"/>
          <w:color w:val="0070C0"/>
          <w:sz w:val="28"/>
          <w:szCs w:val="28"/>
          <w:rtl/>
          <w:lang w:bidi="ar"/>
        </w:rPr>
        <w:t>،</w:t>
      </w:r>
      <w:r w:rsidRPr="005901FA">
        <w:rPr>
          <w:rFonts w:cs="Abz-2 (Badr)"/>
          <w:color w:val="0070C0"/>
          <w:sz w:val="28"/>
          <w:szCs w:val="28"/>
          <w:rtl/>
          <w:lang w:bidi="ar"/>
        </w:rPr>
        <w:t xml:space="preserve"> لو مات الأب فلا أعرف دليلا</w:t>
      </w:r>
      <w:r w:rsidRPr="005901FA">
        <w:rPr>
          <w:rFonts w:cs="Abz-2 (Badr)" w:hint="cs"/>
          <w:color w:val="0070C0"/>
          <w:sz w:val="28"/>
          <w:szCs w:val="28"/>
          <w:rtl/>
          <w:lang w:bidi="ar"/>
        </w:rPr>
        <w:t>ً</w:t>
      </w:r>
      <w:r w:rsidRPr="005901FA">
        <w:rPr>
          <w:rFonts w:cs="Abz-2 (Badr)"/>
          <w:color w:val="0070C0"/>
          <w:sz w:val="28"/>
          <w:szCs w:val="28"/>
          <w:rtl/>
          <w:lang w:bidi="ar"/>
        </w:rPr>
        <w:t xml:space="preserve"> على رجوع الولاية لها وأن</w:t>
      </w:r>
      <w:r w:rsidRPr="005901FA">
        <w:rPr>
          <w:rFonts w:cs="Abz-2 (Badr)" w:hint="cs"/>
          <w:color w:val="0070C0"/>
          <w:sz w:val="28"/>
          <w:szCs w:val="28"/>
          <w:rtl/>
          <w:lang w:bidi="ar"/>
        </w:rPr>
        <w:t>ّ</w:t>
      </w:r>
      <w:r w:rsidRPr="005901FA">
        <w:rPr>
          <w:rFonts w:cs="Abz-2 (Badr)"/>
          <w:color w:val="0070C0"/>
          <w:sz w:val="28"/>
          <w:szCs w:val="28"/>
          <w:rtl/>
          <w:lang w:bidi="ar"/>
        </w:rPr>
        <w:t>ها حق</w:t>
      </w:r>
      <w:r w:rsidRPr="005901FA">
        <w:rPr>
          <w:rFonts w:cs="Abz-2 (Badr)" w:hint="cs"/>
          <w:color w:val="0070C0"/>
          <w:sz w:val="28"/>
          <w:szCs w:val="28"/>
          <w:rtl/>
          <w:lang w:bidi="ar"/>
        </w:rPr>
        <w:t>ّ</w:t>
      </w:r>
      <w:r w:rsidRPr="005901FA">
        <w:rPr>
          <w:rFonts w:cs="Abz-2 (Badr)"/>
          <w:color w:val="0070C0"/>
          <w:sz w:val="28"/>
          <w:szCs w:val="28"/>
          <w:rtl/>
          <w:lang w:bidi="ar"/>
        </w:rPr>
        <w:t xml:space="preserve"> الوصي</w:t>
      </w:r>
      <w:r w:rsidRPr="005901FA">
        <w:rPr>
          <w:rFonts w:cs="Abz-2 (Badr)" w:hint="cs"/>
          <w:color w:val="0070C0"/>
          <w:sz w:val="28"/>
          <w:szCs w:val="28"/>
          <w:rtl/>
          <w:lang w:bidi="ar"/>
        </w:rPr>
        <w:t>.</w:t>
      </w:r>
      <w:r w:rsidRPr="005901FA">
        <w:rPr>
          <w:rFonts w:cs="Abz-2 (Badr)"/>
          <w:color w:val="0070C0"/>
          <w:sz w:val="28"/>
          <w:szCs w:val="28"/>
          <w:rtl/>
          <w:lang w:bidi="ar"/>
        </w:rPr>
        <w:t xml:space="preserve"> إلا أن</w:t>
      </w:r>
      <w:r w:rsidRPr="005901FA">
        <w:rPr>
          <w:rFonts w:cs="Abz-2 (Badr)" w:hint="cs"/>
          <w:color w:val="0070C0"/>
          <w:sz w:val="28"/>
          <w:szCs w:val="28"/>
          <w:rtl/>
          <w:lang w:bidi="ar"/>
        </w:rPr>
        <w:t>ّ</w:t>
      </w:r>
      <w:r w:rsidRPr="005901FA">
        <w:rPr>
          <w:rFonts w:cs="Abz-2 (Badr)"/>
          <w:color w:val="0070C0"/>
          <w:sz w:val="28"/>
          <w:szCs w:val="28"/>
          <w:rtl/>
          <w:lang w:bidi="ar"/>
        </w:rPr>
        <w:t xml:space="preserve"> ظاهر كلامهم الات</w:t>
      </w:r>
      <w:r w:rsidRPr="005901FA">
        <w:rPr>
          <w:rFonts w:cs="Abz-2 (Badr)" w:hint="cs"/>
          <w:color w:val="0070C0"/>
          <w:sz w:val="28"/>
          <w:szCs w:val="28"/>
          <w:rtl/>
          <w:lang w:bidi="ar"/>
        </w:rPr>
        <w:t>ّ</w:t>
      </w:r>
      <w:r w:rsidRPr="005901FA">
        <w:rPr>
          <w:rFonts w:cs="Abz-2 (Badr)"/>
          <w:color w:val="0070C0"/>
          <w:sz w:val="28"/>
          <w:szCs w:val="28"/>
          <w:rtl/>
          <w:lang w:bidi="ar"/>
        </w:rPr>
        <w:t>فاق على أن</w:t>
      </w:r>
      <w:r w:rsidRPr="005901FA">
        <w:rPr>
          <w:rFonts w:cs="Abz-2 (Badr)" w:hint="cs"/>
          <w:color w:val="0070C0"/>
          <w:sz w:val="28"/>
          <w:szCs w:val="28"/>
          <w:rtl/>
          <w:lang w:bidi="ar"/>
        </w:rPr>
        <w:t>ّ</w:t>
      </w:r>
      <w:r w:rsidRPr="005901FA">
        <w:rPr>
          <w:rFonts w:cs="Abz-2 (Badr)"/>
          <w:color w:val="0070C0"/>
          <w:sz w:val="28"/>
          <w:szCs w:val="28"/>
          <w:rtl/>
          <w:lang w:bidi="ar"/>
        </w:rPr>
        <w:t>ها للأ</w:t>
      </w:r>
      <w:r w:rsidRPr="005901FA">
        <w:rPr>
          <w:rFonts w:cs="Abz-2 (Badr)" w:hint="cs"/>
          <w:color w:val="0070C0"/>
          <w:sz w:val="28"/>
          <w:szCs w:val="28"/>
          <w:rtl/>
          <w:lang w:bidi="ar"/>
        </w:rPr>
        <w:t>ُ</w:t>
      </w:r>
      <w:r w:rsidRPr="005901FA">
        <w:rPr>
          <w:rFonts w:cs="Abz-2 (Badr)"/>
          <w:color w:val="0070C0"/>
          <w:sz w:val="28"/>
          <w:szCs w:val="28"/>
          <w:rtl/>
          <w:lang w:bidi="ar"/>
        </w:rPr>
        <w:t>م</w:t>
      </w:r>
      <w:r w:rsidRPr="005901FA">
        <w:rPr>
          <w:rFonts w:cs="Abz-2 (Badr)" w:hint="cs"/>
          <w:color w:val="0070C0"/>
          <w:sz w:val="28"/>
          <w:szCs w:val="28"/>
          <w:rtl/>
          <w:lang w:bidi="ar"/>
        </w:rPr>
        <w:t>ّ</w:t>
      </w:r>
      <w:r w:rsidRPr="005901FA">
        <w:rPr>
          <w:rFonts w:cs="Abz-2 (Badr)"/>
          <w:color w:val="0070C0"/>
          <w:sz w:val="28"/>
          <w:szCs w:val="28"/>
          <w:rtl/>
          <w:lang w:bidi="ar"/>
        </w:rPr>
        <w:t>، وفر</w:t>
      </w:r>
      <w:r w:rsidRPr="005901FA">
        <w:rPr>
          <w:rFonts w:cs="Abz-2 (Badr)" w:hint="cs"/>
          <w:color w:val="0070C0"/>
          <w:sz w:val="28"/>
          <w:szCs w:val="28"/>
          <w:rtl/>
          <w:lang w:bidi="ar"/>
        </w:rPr>
        <w:t>ّ</w:t>
      </w:r>
      <w:r w:rsidRPr="005901FA">
        <w:rPr>
          <w:rFonts w:cs="Abz-2 (Badr)"/>
          <w:color w:val="0070C0"/>
          <w:sz w:val="28"/>
          <w:szCs w:val="28"/>
          <w:rtl/>
          <w:lang w:bidi="ar"/>
        </w:rPr>
        <w:t>عوا عليه أيضا</w:t>
      </w:r>
      <w:r w:rsidRPr="005901FA">
        <w:rPr>
          <w:rFonts w:cs="Abz-2 (Badr)" w:hint="cs"/>
          <w:color w:val="0070C0"/>
          <w:sz w:val="28"/>
          <w:szCs w:val="28"/>
          <w:rtl/>
          <w:lang w:bidi="ar"/>
        </w:rPr>
        <w:t>ً</w:t>
      </w:r>
      <w:r w:rsidRPr="005901FA">
        <w:rPr>
          <w:rFonts w:cs="Abz-2 (Badr)"/>
          <w:color w:val="0070C0"/>
          <w:sz w:val="28"/>
          <w:szCs w:val="28"/>
          <w:rtl/>
          <w:lang w:bidi="ar"/>
        </w:rPr>
        <w:t xml:space="preserve"> عدم الفرق بين كون ال</w:t>
      </w:r>
      <w:r w:rsidRPr="005901FA">
        <w:rPr>
          <w:rFonts w:cs="Abz-2 (Badr)" w:hint="cs"/>
          <w:color w:val="0070C0"/>
          <w:sz w:val="28"/>
          <w:szCs w:val="28"/>
          <w:rtl/>
          <w:lang w:bidi="ar"/>
        </w:rPr>
        <w:t>أُ</w:t>
      </w:r>
      <w:r w:rsidRPr="005901FA">
        <w:rPr>
          <w:rFonts w:cs="Abz-2 (Badr)"/>
          <w:color w:val="0070C0"/>
          <w:sz w:val="28"/>
          <w:szCs w:val="28"/>
          <w:rtl/>
          <w:lang w:bidi="ar"/>
        </w:rPr>
        <w:t>م</w:t>
      </w:r>
      <w:r w:rsidRPr="005901FA">
        <w:rPr>
          <w:rFonts w:cs="Abz-2 (Badr)" w:hint="cs"/>
          <w:color w:val="0070C0"/>
          <w:sz w:val="28"/>
          <w:szCs w:val="28"/>
          <w:rtl/>
          <w:lang w:bidi="ar"/>
        </w:rPr>
        <w:t>ّ</w:t>
      </w:r>
      <w:r w:rsidRPr="005901FA">
        <w:rPr>
          <w:rFonts w:cs="Abz-2 (Badr)"/>
          <w:color w:val="0070C0"/>
          <w:sz w:val="28"/>
          <w:szCs w:val="28"/>
          <w:rtl/>
          <w:lang w:bidi="ar"/>
        </w:rPr>
        <w:t xml:space="preserve"> متزو</w:t>
      </w:r>
      <w:r w:rsidRPr="005901FA">
        <w:rPr>
          <w:rFonts w:cs="Abz-2 (Badr)" w:hint="cs"/>
          <w:color w:val="0070C0"/>
          <w:sz w:val="28"/>
          <w:szCs w:val="28"/>
          <w:rtl/>
          <w:lang w:bidi="ar"/>
        </w:rPr>
        <w:t>ّ</w:t>
      </w:r>
      <w:r w:rsidRPr="005901FA">
        <w:rPr>
          <w:rFonts w:cs="Abz-2 (Badr)"/>
          <w:color w:val="0070C0"/>
          <w:sz w:val="28"/>
          <w:szCs w:val="28"/>
          <w:rtl/>
          <w:lang w:bidi="ar"/>
        </w:rPr>
        <w:t>جة أم لا</w:t>
      </w:r>
      <w:r w:rsidRPr="005901FA">
        <w:rPr>
          <w:rFonts w:cs="Abz-2 (Badr)" w:hint="cs"/>
          <w:color w:val="0070C0"/>
          <w:sz w:val="28"/>
          <w:szCs w:val="28"/>
          <w:rtl/>
          <w:lang w:bidi="ar"/>
        </w:rPr>
        <w:t>.»</w:t>
      </w:r>
      <w:r>
        <w:rPr>
          <w:rStyle w:val="FootnoteReference"/>
          <w:rFonts w:eastAsiaTheme="majorEastAsia" w:cs="Abz-2 (Badr)"/>
          <w:rtl/>
          <w:lang w:bidi="ar"/>
        </w:rPr>
        <w:footnoteReference w:id="1"/>
      </w:r>
    </w:p>
    <w:p w14:paraId="41ED129F" w14:textId="77777777" w:rsidR="0030209B" w:rsidRDefault="0030209B" w:rsidP="0030209B">
      <w:pPr>
        <w:widowControl w:val="0"/>
        <w:bidi/>
        <w:spacing w:after="0"/>
        <w:ind w:firstLine="284"/>
        <w:jc w:val="both"/>
        <w:rPr>
          <w:rFonts w:cs="Abz-2 (Badr)"/>
          <w:color w:val="00B0F0"/>
          <w:sz w:val="28"/>
          <w:szCs w:val="28"/>
          <w:rtl/>
          <w:lang w:bidi="ar"/>
        </w:rPr>
      </w:pPr>
      <w:r>
        <w:rPr>
          <w:rFonts w:cs="Abz-2 (Badr)" w:hint="cs"/>
          <w:sz w:val="28"/>
          <w:szCs w:val="28"/>
          <w:rtl/>
          <w:lang w:bidi="fa-IR"/>
        </w:rPr>
        <w:t xml:space="preserve">اما ايراد اشکال مذکور از ايشان عجيب است، زيرا در ميان اخبار دليل اين حکم مذکور است؛ مثلاً در </w:t>
      </w:r>
      <w:r>
        <w:rPr>
          <w:rFonts w:cs="Abz-2 (Badr)" w:hint="cs"/>
          <w:sz w:val="28"/>
          <w:szCs w:val="28"/>
          <w:rtl/>
          <w:lang w:bidi="ar"/>
        </w:rPr>
        <w:t xml:space="preserve">موثّقة </w:t>
      </w:r>
      <w:r w:rsidRPr="00923138">
        <w:rPr>
          <w:rFonts w:cs="Abz-2 (Badr)"/>
          <w:sz w:val="28"/>
          <w:szCs w:val="28"/>
          <w:rtl/>
          <w:lang w:bidi="ar"/>
        </w:rPr>
        <w:t>داود</w:t>
      </w:r>
      <w:r>
        <w:rPr>
          <w:rFonts w:cs="Abz-2 (Badr)" w:hint="cs"/>
          <w:sz w:val="28"/>
          <w:szCs w:val="28"/>
          <w:rtl/>
          <w:lang w:bidi="ar"/>
        </w:rPr>
        <w:t xml:space="preserve"> </w:t>
      </w:r>
      <w:r w:rsidRPr="00923138">
        <w:rPr>
          <w:rFonts w:cs="Abz-2 (Badr)"/>
          <w:sz w:val="28"/>
          <w:szCs w:val="28"/>
          <w:rtl/>
          <w:lang w:bidi="ar"/>
        </w:rPr>
        <w:t>بن</w:t>
      </w:r>
      <w:r>
        <w:rPr>
          <w:rFonts w:cs="Abz-2 (Badr)" w:hint="cs"/>
          <w:sz w:val="28"/>
          <w:szCs w:val="28"/>
          <w:rtl/>
          <w:lang w:bidi="ar"/>
        </w:rPr>
        <w:t xml:space="preserve"> </w:t>
      </w:r>
      <w:r w:rsidRPr="00923138">
        <w:rPr>
          <w:rFonts w:cs="Abz-2 (Badr)"/>
          <w:sz w:val="28"/>
          <w:szCs w:val="28"/>
          <w:rtl/>
          <w:lang w:bidi="ar"/>
        </w:rPr>
        <w:t>الح</w:t>
      </w:r>
      <w:r>
        <w:rPr>
          <w:rFonts w:cs="Abz-2 (Badr)" w:hint="cs"/>
          <w:sz w:val="28"/>
          <w:szCs w:val="28"/>
          <w:rtl/>
          <w:lang w:bidi="ar"/>
        </w:rPr>
        <w:t>ص</w:t>
      </w:r>
      <w:r w:rsidRPr="00923138">
        <w:rPr>
          <w:rFonts w:cs="Abz-2 (Badr)"/>
          <w:sz w:val="28"/>
          <w:szCs w:val="28"/>
          <w:rtl/>
          <w:lang w:bidi="ar"/>
        </w:rPr>
        <w:t xml:space="preserve">ين </w:t>
      </w:r>
      <w:r>
        <w:rPr>
          <w:rFonts w:cs="Abz-2 (Badr)" w:hint="cs"/>
          <w:sz w:val="28"/>
          <w:szCs w:val="28"/>
          <w:rtl/>
          <w:lang w:bidi="ar"/>
        </w:rPr>
        <w:t>آمده است</w:t>
      </w:r>
      <w:r w:rsidRPr="00923138">
        <w:rPr>
          <w:rFonts w:cs="Abz-2 (Badr)"/>
          <w:sz w:val="28"/>
          <w:szCs w:val="28"/>
          <w:rtl/>
          <w:lang w:bidi="ar"/>
        </w:rPr>
        <w:t xml:space="preserve">: </w:t>
      </w:r>
      <w:r w:rsidRPr="007C0A5C">
        <w:rPr>
          <w:rFonts w:cs="Abz-2 (Badr)" w:hint="cs"/>
          <w:color w:val="00B0F0"/>
          <w:sz w:val="28"/>
          <w:szCs w:val="28"/>
          <w:rtl/>
          <w:lang w:bidi="ar"/>
        </w:rPr>
        <w:t>«</w:t>
      </w:r>
      <w:r w:rsidRPr="00A56CD0">
        <w:rPr>
          <w:rFonts w:cs="Abz-2 (Badr)" w:hint="cs"/>
          <w:color w:val="00B0F0"/>
          <w:sz w:val="28"/>
          <w:szCs w:val="28"/>
          <w:rtl/>
          <w:lang w:bidi="ar"/>
        </w:rPr>
        <w:t>...</w:t>
      </w:r>
      <w:r w:rsidRPr="00923138">
        <w:rPr>
          <w:rFonts w:cs="Abz-2 (Badr)"/>
          <w:color w:val="00B0F0"/>
          <w:sz w:val="28"/>
          <w:szCs w:val="28"/>
          <w:rtl/>
          <w:lang w:bidi="ar"/>
        </w:rPr>
        <w:t>فإذا مات الأب فالأ</w:t>
      </w:r>
      <w:r>
        <w:rPr>
          <w:rFonts w:cs="Abz-2 (Badr)" w:hint="cs"/>
          <w:color w:val="00B0F0"/>
          <w:sz w:val="28"/>
          <w:szCs w:val="28"/>
          <w:rtl/>
          <w:lang w:bidi="ar"/>
        </w:rPr>
        <w:t>ُ</w:t>
      </w:r>
      <w:r w:rsidRPr="00923138">
        <w:rPr>
          <w:rFonts w:cs="Abz-2 (Badr)"/>
          <w:color w:val="00B0F0"/>
          <w:sz w:val="28"/>
          <w:szCs w:val="28"/>
          <w:rtl/>
          <w:lang w:bidi="ar"/>
        </w:rPr>
        <w:t>م</w:t>
      </w:r>
      <w:r w:rsidRPr="007C0A5C">
        <w:rPr>
          <w:rFonts w:cs="Abz-2 (Badr)" w:hint="cs"/>
          <w:color w:val="00B0F0"/>
          <w:sz w:val="28"/>
          <w:szCs w:val="28"/>
          <w:rtl/>
          <w:lang w:bidi="ar"/>
        </w:rPr>
        <w:t>ّ</w:t>
      </w:r>
      <w:r w:rsidRPr="00923138">
        <w:rPr>
          <w:rFonts w:cs="Abz-2 (Badr)"/>
          <w:color w:val="00B0F0"/>
          <w:sz w:val="28"/>
          <w:szCs w:val="28"/>
          <w:rtl/>
          <w:lang w:bidi="ar"/>
        </w:rPr>
        <w:t xml:space="preserve"> أح</w:t>
      </w:r>
      <w:r w:rsidRPr="007C0A5C">
        <w:rPr>
          <w:rFonts w:cs="Abz-2 (Badr)" w:hint="cs"/>
          <w:color w:val="00B0F0"/>
          <w:sz w:val="28"/>
          <w:szCs w:val="28"/>
          <w:rtl/>
          <w:lang w:bidi="ar"/>
        </w:rPr>
        <w:t>قّ</w:t>
      </w:r>
      <w:r w:rsidRPr="00923138">
        <w:rPr>
          <w:rFonts w:cs="Abz-2 (Badr)"/>
          <w:color w:val="00B0F0"/>
          <w:sz w:val="28"/>
          <w:szCs w:val="28"/>
          <w:rtl/>
          <w:lang w:bidi="ar"/>
        </w:rPr>
        <w:t xml:space="preserve"> به من العصبة</w:t>
      </w:r>
      <w:r>
        <w:rPr>
          <w:rFonts w:cs="Abz-2 (Badr)" w:hint="cs"/>
          <w:color w:val="00B0F0"/>
          <w:sz w:val="28"/>
          <w:szCs w:val="28"/>
          <w:rtl/>
          <w:lang w:bidi="ar"/>
        </w:rPr>
        <w:t>...</w:t>
      </w:r>
      <w:r w:rsidRPr="007C0A5C">
        <w:rPr>
          <w:rFonts w:cs="Abz-2 (Badr)" w:hint="cs"/>
          <w:color w:val="00B0F0"/>
          <w:sz w:val="28"/>
          <w:szCs w:val="28"/>
          <w:rtl/>
          <w:lang w:bidi="ar"/>
        </w:rPr>
        <w:t>»</w:t>
      </w:r>
      <w:r>
        <w:rPr>
          <w:rStyle w:val="FootnoteReference"/>
          <w:rFonts w:cs="Abz-2 (Badr)"/>
          <w:sz w:val="28"/>
          <w:szCs w:val="28"/>
          <w:rtl/>
          <w:lang w:bidi="ar"/>
        </w:rPr>
        <w:footnoteReference w:id="2"/>
      </w:r>
    </w:p>
    <w:p w14:paraId="3EF02C96" w14:textId="77777777" w:rsidR="0030209B" w:rsidRDefault="0030209B" w:rsidP="0030209B">
      <w:pPr>
        <w:widowControl w:val="0"/>
        <w:bidi/>
        <w:spacing w:after="0"/>
        <w:ind w:firstLine="284"/>
        <w:jc w:val="both"/>
        <w:rPr>
          <w:rFonts w:ascii="Traditional Arabic" w:hAnsi="Traditional Arabic" w:cs="Abz-2 (Badr)"/>
          <w:color w:val="00B0F0"/>
          <w:sz w:val="28"/>
          <w:szCs w:val="28"/>
          <w:rtl/>
          <w:lang w:bidi="fa-IR"/>
        </w:rPr>
      </w:pPr>
      <w:r w:rsidRPr="00A56CD0">
        <w:rPr>
          <w:rFonts w:cs="Abz-2 (Badr)" w:hint="cs"/>
          <w:sz w:val="28"/>
          <w:szCs w:val="28"/>
          <w:rtl/>
          <w:lang w:bidi="fa-IR"/>
        </w:rPr>
        <w:t>همچنين در</w:t>
      </w:r>
      <w:r>
        <w:rPr>
          <w:rFonts w:cs="Abz-2 (Badr)" w:hint="cs"/>
          <w:color w:val="00B0F0"/>
          <w:sz w:val="28"/>
          <w:szCs w:val="28"/>
          <w:rtl/>
          <w:lang w:bidi="ar"/>
        </w:rPr>
        <w:t xml:space="preserve"> </w:t>
      </w:r>
      <w:r>
        <w:rPr>
          <w:rFonts w:ascii="Traditional Arabic" w:hAnsi="Traditional Arabic" w:cs="Abz-2 (Badr)" w:hint="cs"/>
          <w:color w:val="000000" w:themeColor="text1"/>
          <w:sz w:val="28"/>
          <w:szCs w:val="28"/>
          <w:rtl/>
          <w:lang w:bidi="fa-IR"/>
        </w:rPr>
        <w:t xml:space="preserve">صحيحة </w:t>
      </w:r>
      <w:r w:rsidRPr="00340C39">
        <w:rPr>
          <w:rFonts w:ascii="Traditional Arabic" w:hAnsi="Traditional Arabic" w:cs="Abz-2 (Badr)" w:hint="cs"/>
          <w:color w:val="000000" w:themeColor="text1"/>
          <w:sz w:val="28"/>
          <w:szCs w:val="28"/>
          <w:rtl/>
          <w:lang w:bidi="fa-IR"/>
        </w:rPr>
        <w:t>ابن</w:t>
      </w:r>
      <w:r w:rsidRPr="00340C39">
        <w:rPr>
          <w:rFonts w:ascii="Traditional Arabic" w:hAnsi="Traditional Arabic" w:cs="Abz-2 (Badr)"/>
          <w:color w:val="000000" w:themeColor="text1"/>
          <w:sz w:val="28"/>
          <w:szCs w:val="28"/>
          <w:rtl/>
          <w:lang w:bidi="fa-IR"/>
        </w:rPr>
        <w:t xml:space="preserve"> </w:t>
      </w:r>
      <w:r w:rsidRPr="00340C39">
        <w:rPr>
          <w:rFonts w:ascii="Traditional Arabic" w:hAnsi="Traditional Arabic" w:cs="Abz-2 (Badr)" w:hint="cs"/>
          <w:color w:val="000000" w:themeColor="text1"/>
          <w:sz w:val="28"/>
          <w:szCs w:val="28"/>
          <w:rtl/>
          <w:lang w:bidi="fa-IR"/>
        </w:rPr>
        <w:t>سنان</w:t>
      </w:r>
      <w:r w:rsidRPr="00340C39">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از امام صادق(ع) نيز آمده است:</w:t>
      </w:r>
      <w:r w:rsidRPr="00340C39">
        <w:rPr>
          <w:rFonts w:ascii="Traditional Arabic" w:hAnsi="Traditional Arabic" w:cs="Abz-2 (Badr)"/>
          <w:color w:val="000000" w:themeColor="text1"/>
          <w:sz w:val="28"/>
          <w:szCs w:val="28"/>
          <w:rtl/>
          <w:lang w:bidi="fa-IR"/>
        </w:rPr>
        <w:t xml:space="preserve"> </w:t>
      </w:r>
      <w:r w:rsidRPr="00A56CD0">
        <w:rPr>
          <w:rFonts w:ascii="Traditional Arabic" w:hAnsi="Traditional Arabic" w:cs="Abz-2 (Badr)" w:hint="cs"/>
          <w:color w:val="00B0F0"/>
          <w:sz w:val="28"/>
          <w:szCs w:val="28"/>
          <w:rtl/>
          <w:lang w:bidi="fa-IR"/>
        </w:rPr>
        <w:t>«في رجل</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مات</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وترك</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امرأة</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ومعها</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منه</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ولد فألقته على</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خادم</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لها</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فأرضعته</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ثمّ</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جاءت</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تطلب</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رضاع</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الغلام</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من</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الوصيّ؟</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فقال:</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لها</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أجر</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مثلها</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وليس</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للوصيّ</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أن</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يُخرجه</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من</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حَجرها</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lastRenderedPageBreak/>
        <w:t>حتّى يُدرك</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ويدفع</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إليه</w:t>
      </w:r>
      <w:r w:rsidRPr="00A56CD0">
        <w:rPr>
          <w:rFonts w:ascii="Traditional Arabic" w:hAnsi="Traditional Arabic" w:cs="Abz-2 (Badr)"/>
          <w:color w:val="00B0F0"/>
          <w:sz w:val="28"/>
          <w:szCs w:val="28"/>
          <w:rtl/>
          <w:lang w:bidi="fa-IR"/>
        </w:rPr>
        <w:t xml:space="preserve"> </w:t>
      </w:r>
      <w:r w:rsidRPr="00A56CD0">
        <w:rPr>
          <w:rFonts w:ascii="Traditional Arabic" w:hAnsi="Traditional Arabic" w:cs="Abz-2 (Badr)" w:hint="cs"/>
          <w:color w:val="00B0F0"/>
          <w:sz w:val="28"/>
          <w:szCs w:val="28"/>
          <w:rtl/>
          <w:lang w:bidi="fa-IR"/>
        </w:rPr>
        <w:t>ماله.»</w:t>
      </w:r>
      <w:r w:rsidRPr="00CC5CDE">
        <w:rPr>
          <w:rFonts w:ascii="Traditional Arabic" w:hAnsi="Traditional Arabic" w:cs="Abz-2 (Badr)"/>
          <w:color w:val="000000" w:themeColor="text1"/>
          <w:sz w:val="28"/>
          <w:szCs w:val="28"/>
          <w:vertAlign w:val="superscript"/>
          <w:rtl/>
          <w:lang w:bidi="ar"/>
        </w:rPr>
        <w:footnoteReference w:id="3"/>
      </w:r>
    </w:p>
    <w:p w14:paraId="1EEB53A1" w14:textId="65F235B8" w:rsidR="0030209B" w:rsidRDefault="0030209B" w:rsidP="0030209B">
      <w:pPr>
        <w:widowControl w:val="0"/>
        <w:bidi/>
        <w:spacing w:after="0"/>
        <w:ind w:firstLine="284"/>
        <w:jc w:val="both"/>
        <w:rPr>
          <w:rFonts w:ascii="Traditional Arabic" w:hAnsi="Traditional Arabic" w:cs="Abz-2 (Badr)"/>
          <w:color w:val="000000" w:themeColor="text1"/>
          <w:sz w:val="28"/>
          <w:szCs w:val="28"/>
          <w:rtl/>
          <w:lang w:bidi="fa-IR"/>
        </w:rPr>
      </w:pPr>
      <w:r w:rsidRPr="00A56CD0">
        <w:rPr>
          <w:rFonts w:ascii="Traditional Arabic" w:hAnsi="Traditional Arabic" w:cs="Abz-2 (Badr)" w:hint="cs"/>
          <w:color w:val="000000" w:themeColor="text1"/>
          <w:sz w:val="28"/>
          <w:szCs w:val="28"/>
          <w:rtl/>
          <w:lang w:bidi="fa-IR"/>
        </w:rPr>
        <w:t xml:space="preserve">بنابر اين </w:t>
      </w:r>
      <w:r>
        <w:rPr>
          <w:rFonts w:ascii="Traditional Arabic" w:hAnsi="Traditional Arabic" w:cs="Abz-2 (Badr)" w:hint="cs"/>
          <w:color w:val="000000" w:themeColor="text1"/>
          <w:sz w:val="28"/>
          <w:szCs w:val="28"/>
          <w:rtl/>
          <w:lang w:bidi="fa-IR"/>
        </w:rPr>
        <w:t>بر اساس اين اخبار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ادعا نمود که مادر در حضانت فرزند پس از مرگ پدر، هم بر اقوام و خويشان پدری ـ ولو جد پدری ـ مقدّم است و هم بر وصی.</w:t>
      </w:r>
    </w:p>
    <w:p w14:paraId="6DDFCEE3" w14:textId="77777777" w:rsidR="001017A3" w:rsidRPr="001017A3" w:rsidRDefault="001017A3" w:rsidP="001017A3">
      <w:pPr>
        <w:shd w:val="clear" w:color="auto" w:fill="FFFFFF"/>
        <w:bidi/>
        <w:spacing w:after="0" w:line="209" w:lineRule="atLeast"/>
        <w:ind w:firstLine="284"/>
        <w:jc w:val="both"/>
        <w:rPr>
          <w:rFonts w:ascii="Aptos" w:eastAsia="Times New Roman" w:hAnsi="Aptos" w:cs="Abz-1 (Lotus)"/>
          <w:color w:val="222222"/>
          <w:sz w:val="24"/>
          <w:szCs w:val="24"/>
        </w:rPr>
      </w:pPr>
      <w:r w:rsidRPr="001017A3">
        <w:rPr>
          <w:rFonts w:ascii="Aptos" w:eastAsia="Times New Roman" w:hAnsi="Aptos" w:cs="Abz-1 (Lotus)" w:hint="cs"/>
          <w:color w:val="00FF00"/>
          <w:spacing w:val="-4"/>
          <w:sz w:val="27"/>
          <w:szCs w:val="27"/>
          <w:rtl/>
          <w:lang w:bidi="fa-IR"/>
        </w:rPr>
        <w:t>شيخ مفيد نيز در مقنعه مطلبی دارند که ظاهر آن تقدّم ديگران بر مادر در حضانت فرزند در صورت مرگ پدر است.</w:t>
      </w:r>
    </w:p>
    <w:p w14:paraId="3E10D067" w14:textId="0033B2E6" w:rsidR="001017A3" w:rsidRPr="001017A3" w:rsidRDefault="001017A3" w:rsidP="001017A3">
      <w:pPr>
        <w:shd w:val="clear" w:color="auto" w:fill="FFFFFF"/>
        <w:bidi/>
        <w:spacing w:after="0" w:line="209" w:lineRule="atLeast"/>
        <w:ind w:firstLine="284"/>
        <w:jc w:val="both"/>
        <w:rPr>
          <w:rFonts w:ascii="Aptos" w:eastAsia="Times New Roman" w:hAnsi="Aptos" w:cs="Abz-1 (Lotus)"/>
          <w:color w:val="222222"/>
          <w:sz w:val="24"/>
          <w:szCs w:val="24"/>
          <w:rtl/>
        </w:rPr>
      </w:pPr>
      <w:r w:rsidRPr="001017A3">
        <w:rPr>
          <w:rFonts w:ascii="Aptos" w:eastAsia="Times New Roman" w:hAnsi="Aptos" w:cs="Abz-1 (Lotus)" w:hint="cs"/>
          <w:color w:val="00FF00"/>
          <w:sz w:val="27"/>
          <w:szCs w:val="27"/>
          <w:rtl/>
          <w:lang w:bidi="fa-IR"/>
        </w:rPr>
        <w:t>ايشان در اين خصوص فرموده</w:t>
      </w:r>
      <w:r w:rsidRPr="001017A3">
        <w:rPr>
          <w:rFonts w:ascii="Aptos" w:eastAsia="Times New Roman" w:hAnsi="Aptos" w:cs="Abz-1 (Lotus)" w:hint="cs"/>
          <w:color w:val="00FF00"/>
          <w:sz w:val="27"/>
          <w:szCs w:val="27"/>
          <w:rtl/>
          <w:lang w:bidi="fa-IR"/>
        </w:rPr>
        <w:softHyphen/>
        <w:t xml:space="preserve"> اند:</w:t>
      </w:r>
      <w:r w:rsidRPr="001017A3">
        <w:rPr>
          <w:rFonts w:ascii="Aptos" w:eastAsia="Times New Roman" w:hAnsi="Aptos" w:cs="Abz-1 (Lotus)" w:hint="cs"/>
          <w:color w:val="000000"/>
          <w:sz w:val="27"/>
          <w:szCs w:val="27"/>
          <w:rtl/>
          <w:lang w:bidi="fa-IR"/>
        </w:rPr>
        <w:t> </w:t>
      </w:r>
      <w:r w:rsidRPr="001017A3">
        <w:rPr>
          <w:rFonts w:ascii="Aptos" w:eastAsia="Times New Roman" w:hAnsi="Aptos" w:cs="Abz-1 (Lotus)" w:hint="cs"/>
          <w:color w:val="0070C0"/>
          <w:sz w:val="27"/>
          <w:szCs w:val="27"/>
          <w:rtl/>
          <w:lang w:bidi="fa-IR"/>
        </w:rPr>
        <w:t>«</w:t>
      </w:r>
      <w:r w:rsidRPr="001017A3">
        <w:rPr>
          <w:rFonts w:ascii="Aptos" w:eastAsia="Times New Roman" w:hAnsi="Aptos" w:cs="Abz-1 (Lotus)" w:hint="cs"/>
          <w:color w:val="0070C0"/>
          <w:sz w:val="27"/>
          <w:szCs w:val="27"/>
          <w:rtl/>
          <w:lang w:bidi="ar"/>
        </w:rPr>
        <w:t>إن مات الأب، قامت أُمّه مقامه في كفالة الولد، فإن لم يكن له أُمّ وكان له أب، قام مقامه في ذلك، فإن لم يكن له أب ولا أُمّ، كانت الأُمّ التي هي الجدّة أحقّ به من البعداء.»</w:t>
      </w:r>
      <w:r w:rsidRPr="001017A3">
        <w:rPr>
          <w:rFonts w:ascii="Aptos" w:eastAsia="Times New Roman" w:hAnsi="Aptos" w:cs="Abz-1 (Lotus)"/>
          <w:color w:val="222222"/>
          <w:sz w:val="24"/>
          <w:szCs w:val="24"/>
          <w:rtl/>
        </w:rPr>
        <w:t xml:space="preserve"> </w:t>
      </w:r>
      <w:r>
        <w:rPr>
          <w:rStyle w:val="FootnoteReference"/>
          <w:rFonts w:ascii="Aptos" w:eastAsia="Times New Roman" w:hAnsi="Aptos" w:cs="Abz-1 (Lotus)"/>
          <w:color w:val="222222"/>
          <w:sz w:val="24"/>
          <w:szCs w:val="24"/>
          <w:rtl/>
        </w:rPr>
        <w:footnoteReference w:id="4"/>
      </w:r>
    </w:p>
    <w:p w14:paraId="2617D5AA" w14:textId="77777777" w:rsidR="001017A3" w:rsidRPr="001017A3" w:rsidRDefault="001017A3" w:rsidP="001017A3">
      <w:pPr>
        <w:shd w:val="clear" w:color="auto" w:fill="FFFFFF"/>
        <w:bidi/>
        <w:spacing w:after="0" w:line="209" w:lineRule="atLeast"/>
        <w:ind w:firstLine="284"/>
        <w:jc w:val="both"/>
        <w:rPr>
          <w:rFonts w:ascii="Aptos" w:eastAsia="Times New Roman" w:hAnsi="Aptos" w:cs="Abz-1 (Lotus)"/>
          <w:color w:val="222222"/>
          <w:sz w:val="24"/>
          <w:szCs w:val="24"/>
          <w:rtl/>
        </w:rPr>
      </w:pPr>
      <w:r w:rsidRPr="001017A3">
        <w:rPr>
          <w:rFonts w:ascii="Aptos" w:eastAsia="Times New Roman" w:hAnsi="Aptos" w:cs="Abz-1 (Lotus)" w:hint="cs"/>
          <w:color w:val="00FF00"/>
          <w:sz w:val="27"/>
          <w:szCs w:val="27"/>
          <w:rtl/>
          <w:lang w:bidi="ar"/>
        </w:rPr>
        <w:t>اطلاق اين مدعا شامل موردی که مادر در قيد حيات باشد نيز می</w:t>
      </w:r>
      <w:r w:rsidRPr="001017A3">
        <w:rPr>
          <w:rFonts w:ascii="Aptos" w:eastAsia="Times New Roman" w:hAnsi="Aptos" w:cs="Abz-1 (Lotus)" w:hint="cs"/>
          <w:color w:val="00FF00"/>
          <w:sz w:val="27"/>
          <w:szCs w:val="27"/>
          <w:rtl/>
          <w:lang w:bidi="ar"/>
        </w:rPr>
        <w:softHyphen/>
        <w:t xml:space="preserve"> شود.</w:t>
      </w:r>
    </w:p>
    <w:p w14:paraId="7B6C90DA" w14:textId="77777777" w:rsidR="001017A3" w:rsidRPr="001017A3" w:rsidRDefault="001017A3" w:rsidP="001017A3">
      <w:pPr>
        <w:shd w:val="clear" w:color="auto" w:fill="FFFFFF"/>
        <w:bidi/>
        <w:spacing w:after="0" w:line="209" w:lineRule="atLeast"/>
        <w:ind w:firstLine="284"/>
        <w:jc w:val="both"/>
        <w:rPr>
          <w:rFonts w:ascii="Aptos" w:eastAsia="Times New Roman" w:hAnsi="Aptos" w:cs="Abz-1 (Lotus)"/>
          <w:color w:val="222222"/>
          <w:sz w:val="24"/>
          <w:szCs w:val="24"/>
          <w:rtl/>
        </w:rPr>
      </w:pPr>
      <w:r w:rsidRPr="001017A3">
        <w:rPr>
          <w:rFonts w:ascii="Aptos" w:eastAsia="Times New Roman" w:hAnsi="Aptos" w:cs="Abz-1 (Lotus)" w:hint="cs"/>
          <w:color w:val="00FF00"/>
          <w:sz w:val="27"/>
          <w:szCs w:val="27"/>
          <w:rtl/>
          <w:lang w:bidi="ar"/>
        </w:rPr>
        <w:t>ولی بر اساس اخباری که گذشت، معلوم می</w:t>
      </w:r>
      <w:r w:rsidRPr="001017A3">
        <w:rPr>
          <w:rFonts w:ascii="Aptos" w:eastAsia="Times New Roman" w:hAnsi="Aptos" w:cs="Abz-1 (Lotus)" w:hint="cs"/>
          <w:color w:val="00FF00"/>
          <w:sz w:val="27"/>
          <w:szCs w:val="27"/>
          <w:rtl/>
          <w:lang w:bidi="ar"/>
        </w:rPr>
        <w:softHyphen/>
        <w:t xml:space="preserve"> شود که اين مدعا وجهی ندارد.</w:t>
      </w:r>
    </w:p>
    <w:p w14:paraId="1803BDA5" w14:textId="77777777" w:rsidR="001017A3" w:rsidRDefault="001017A3" w:rsidP="001017A3">
      <w:pPr>
        <w:widowControl w:val="0"/>
        <w:bidi/>
        <w:spacing w:after="0"/>
        <w:ind w:firstLine="284"/>
        <w:jc w:val="both"/>
        <w:rPr>
          <w:rFonts w:ascii="Traditional Arabic" w:hAnsi="Traditional Arabic" w:cs="Abz-2 (Badr)"/>
          <w:color w:val="000000" w:themeColor="text1"/>
          <w:sz w:val="28"/>
          <w:szCs w:val="28"/>
          <w:rtl/>
          <w:lang w:bidi="fa-IR"/>
        </w:rPr>
      </w:pPr>
    </w:p>
    <w:p w14:paraId="44F418DC" w14:textId="77777777" w:rsidR="0030209B" w:rsidRPr="008F2106" w:rsidRDefault="0030209B" w:rsidP="0030209B">
      <w:pPr>
        <w:widowControl w:val="0"/>
        <w:bidi/>
        <w:spacing w:after="0"/>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صاحب جواهر مضافاً بر اين دو روايت، استدلال ديگری نيز برای تقدّم مادر در اين فرض مطرح کرده و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8F2106">
        <w:rPr>
          <w:rFonts w:ascii="Traditional Arabic" w:hAnsi="Traditional Arabic" w:cs="Abz-2 (Badr)" w:hint="cs"/>
          <w:color w:val="0070C0"/>
          <w:sz w:val="28"/>
          <w:szCs w:val="28"/>
          <w:rtl/>
          <w:lang w:bidi="fa-IR"/>
        </w:rPr>
        <w:t>«</w:t>
      </w:r>
      <w:r w:rsidRPr="008F2106">
        <w:rPr>
          <w:rFonts w:ascii="Traditional Arabic" w:hAnsi="Traditional Arabic" w:cs="Abz-2 (Badr)"/>
          <w:color w:val="0070C0"/>
          <w:sz w:val="28"/>
          <w:szCs w:val="28"/>
          <w:rtl/>
          <w:lang w:bidi="ar"/>
        </w:rPr>
        <w:t>لعل</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ذلك ظاهر النصوص السابقة باعتبار إثبات الأحق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ي</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ة للأ</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م</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في الذكر حت</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ى يفطم</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فيكون الأب أحق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به، وفي الأ</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نثى سبعا</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فيكون الأحق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الأب</w:t>
      </w:r>
      <w:r w:rsidRPr="008F2106">
        <w:rPr>
          <w:rFonts w:ascii="Traditional Arabic" w:hAnsi="Traditional Arabic" w:cs="Abz-2 (Badr)" w:hint="cs"/>
          <w:color w:val="0070C0"/>
          <w:sz w:val="28"/>
          <w:szCs w:val="28"/>
          <w:rtl/>
          <w:lang w:bidi="ar"/>
        </w:rPr>
        <w:t>.</w:t>
      </w:r>
    </w:p>
    <w:p w14:paraId="636A93CD" w14:textId="77777777" w:rsidR="0030209B" w:rsidRPr="008F2106" w:rsidRDefault="0030209B" w:rsidP="0030209B">
      <w:pPr>
        <w:widowControl w:val="0"/>
        <w:bidi/>
        <w:spacing w:after="0" w:line="250" w:lineRule="auto"/>
        <w:ind w:firstLine="284"/>
        <w:jc w:val="both"/>
        <w:rPr>
          <w:rFonts w:ascii="Traditional Arabic" w:hAnsi="Traditional Arabic" w:cs="Abz-2 (Badr)"/>
          <w:color w:val="0070C0"/>
          <w:sz w:val="28"/>
          <w:szCs w:val="28"/>
          <w:rtl/>
          <w:lang w:bidi="fa-IR"/>
        </w:rPr>
      </w:pPr>
      <w:r w:rsidRPr="008F2106">
        <w:rPr>
          <w:rFonts w:ascii="Traditional Arabic" w:hAnsi="Traditional Arabic" w:cs="Abz-2 (Badr)"/>
          <w:color w:val="0070C0"/>
          <w:sz w:val="28"/>
          <w:szCs w:val="28"/>
          <w:rtl/>
          <w:lang w:bidi="ar"/>
        </w:rPr>
        <w:t>فأصل الحق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ثابت لكل</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منهما إلا أن</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ه يكون غيره أحق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منه</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ومن المعلوم أن</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ذلك يكون مع وجوده، أم</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ا مع عدمه فليس الحق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حينئذ</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إلا لذي الحق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ضرورة فرض عدم الأحق</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منه</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وكأن</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 xml:space="preserve"> ذلك ونحوه منشأ ات</w:t>
      </w:r>
      <w:r w:rsidRPr="008F2106">
        <w:rPr>
          <w:rFonts w:ascii="Traditional Arabic" w:hAnsi="Traditional Arabic" w:cs="Abz-2 (Badr)" w:hint="cs"/>
          <w:color w:val="0070C0"/>
          <w:sz w:val="28"/>
          <w:szCs w:val="28"/>
          <w:rtl/>
          <w:lang w:bidi="ar"/>
        </w:rPr>
        <w:t>ّ</w:t>
      </w:r>
      <w:r w:rsidRPr="008F2106">
        <w:rPr>
          <w:rFonts w:ascii="Traditional Arabic" w:hAnsi="Traditional Arabic" w:cs="Abz-2 (Badr)"/>
          <w:color w:val="0070C0"/>
          <w:sz w:val="28"/>
          <w:szCs w:val="28"/>
          <w:rtl/>
          <w:lang w:bidi="ar"/>
        </w:rPr>
        <w:t>فاق الأصحاب</w:t>
      </w:r>
      <w:r w:rsidRPr="008F2106">
        <w:rPr>
          <w:rFonts w:ascii="Traditional Arabic" w:hAnsi="Traditional Arabic" w:cs="Abz-2 (Badr)" w:hint="cs"/>
          <w:color w:val="0070C0"/>
          <w:sz w:val="28"/>
          <w:szCs w:val="28"/>
          <w:rtl/>
          <w:lang w:bidi="ar"/>
        </w:rPr>
        <w:t>.»</w:t>
      </w:r>
      <w:r>
        <w:rPr>
          <w:rStyle w:val="FootnoteReference"/>
          <w:rFonts w:eastAsiaTheme="majorEastAsia" w:cs="Abz-2 (Badr)"/>
          <w:rtl/>
          <w:lang w:bidi="ar"/>
        </w:rPr>
        <w:footnoteReference w:id="5"/>
      </w:r>
    </w:p>
    <w:p w14:paraId="0AB4FE30" w14:textId="77777777" w:rsidR="0030209B" w:rsidRDefault="0030209B" w:rsidP="0030209B">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اشکال اين استدلال برای اثبات تقدّم حق مادر در حضانت فرزند در صورت مرگ پدر اين است که با مرگ پدر، هرچند مانعی که از اين جهت برای حضانت مادر وجود دارد برطرف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اما موانع ديگری مثل حق جدّ پدری و عصبه و وصی در حضانت فرزند ممکن است برای آن ايجاد شود. در نتيجه برای اثبات اين که اين امور مانع از حق حضانت مادر نيستند، نيازمند دليل هستيم که اخبار فوق همين مطلب را اثبات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کنند.</w:t>
      </w:r>
    </w:p>
    <w:p w14:paraId="5C881B54" w14:textId="77777777" w:rsidR="0030209B" w:rsidRDefault="0030209B" w:rsidP="0030209B">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lastRenderedPageBreak/>
        <w:t xml:space="preserve"> به عبارت ديگر بدون تمسّک به صحيحه ابن سنان و موثقه داود بن الحصين،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به مجرّد اين که با مرگ پدر، مانع برای حضانت مادر زايل شده است، حق حضانت او را مقدّم نمود، زيرا رفع مانع مذکور منافاتی با بقاء موانع ديگر ندارد، و عدم مانعيّت موانع ديگر نيازمند دليل است.</w:t>
      </w:r>
    </w:p>
    <w:p w14:paraId="6C8D3F94" w14:textId="77777777" w:rsidR="0030209B" w:rsidRDefault="0030209B" w:rsidP="0030209B">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البته در صورت مرگ مادر، استدلال مذکور برای تقدّم حق پدر در حضانت فرزند تمام است که در ادامه مطلب به بيان آن خواهيم پرداخت ان شاء الله.</w:t>
      </w:r>
    </w:p>
    <w:p w14:paraId="01CCF759" w14:textId="77777777" w:rsidR="0030209B" w:rsidRPr="00F02E77" w:rsidRDefault="0030209B" w:rsidP="0030209B">
      <w:pPr>
        <w:widowControl w:val="0"/>
        <w:bidi/>
        <w:spacing w:after="0" w:line="250" w:lineRule="auto"/>
        <w:ind w:firstLine="284"/>
        <w:jc w:val="both"/>
        <w:rPr>
          <w:rFonts w:ascii="Traditional Arabic" w:hAnsi="Traditional Arabic" w:cs="Cambria"/>
          <w:color w:val="0070C0"/>
          <w:sz w:val="28"/>
          <w:szCs w:val="28"/>
          <w:rtl/>
          <w:lang w:bidi="fa-IR"/>
        </w:rPr>
      </w:pPr>
      <w:r>
        <w:rPr>
          <w:rFonts w:ascii="Traditional Arabic" w:hAnsi="Traditional Arabic" w:cs="Abz-2 (Badr)" w:hint="cs"/>
          <w:color w:val="000000" w:themeColor="text1"/>
          <w:sz w:val="28"/>
          <w:szCs w:val="28"/>
          <w:rtl/>
          <w:lang w:bidi="fa-IR"/>
        </w:rPr>
        <w:t xml:space="preserve">دليل ديگری که صاحب جواهر برای اثبات تقدّم مادر به آن تسمسّک کرده است، آيه شريفه: </w:t>
      </w:r>
      <w:r w:rsidRPr="00F02E77">
        <w:rPr>
          <w:rFonts w:ascii="Noor_Nazli" w:eastAsiaTheme="majorEastAsia" w:hAnsi="Noor_Nazli" w:cs="QuranTaha" w:hint="cs"/>
          <w:color w:val="BF8F00"/>
          <w:sz w:val="26"/>
          <w:szCs w:val="26"/>
          <w:rtl/>
          <w:lang w:bidi="fa-IR"/>
        </w:rPr>
        <w:t>«</w:t>
      </w:r>
      <w:r w:rsidRPr="00DF637C">
        <w:rPr>
          <w:rFonts w:ascii="Noor_Nazli" w:eastAsiaTheme="majorEastAsia" w:hAnsi="Noor_Nazli" w:cs="QuranTaha" w:hint="cs"/>
          <w:color w:val="BF8F00"/>
          <w:sz w:val="26"/>
          <w:szCs w:val="26"/>
          <w:rtl/>
          <w:lang w:bidi="fa-IR"/>
        </w:rPr>
        <w:t>لَا تُضَارَّ وَالِدَةٌ بِوَلَدِهَا وَلَا مَوْلُودٌ لَهُ</w:t>
      </w:r>
      <w:r>
        <w:rPr>
          <w:rFonts w:ascii="Noor_Nazli" w:eastAsiaTheme="majorEastAsia" w:hAnsi="Noor_Nazli" w:cs="QuranTaha" w:hint="cs"/>
          <w:color w:val="BF8F00"/>
          <w:sz w:val="26"/>
          <w:szCs w:val="26"/>
          <w:rtl/>
          <w:lang w:bidi="fa-IR"/>
        </w:rPr>
        <w:t xml:space="preserve"> </w:t>
      </w:r>
      <w:r w:rsidRPr="00DF637C">
        <w:rPr>
          <w:rFonts w:ascii="Noor_Nazli" w:eastAsiaTheme="majorEastAsia" w:hAnsi="Noor_Nazli" w:cs="QuranTaha" w:hint="cs"/>
          <w:color w:val="BF8F00"/>
          <w:sz w:val="26"/>
          <w:szCs w:val="26"/>
          <w:rtl/>
          <w:lang w:bidi="fa-IR"/>
        </w:rPr>
        <w:t>بِوَلَدِهِ</w:t>
      </w:r>
      <w:r>
        <w:rPr>
          <w:rFonts w:ascii="Noor_Nazli" w:eastAsiaTheme="majorEastAsia" w:hAnsi="Noor_Nazli" w:cs="QuranTaha" w:hint="cs"/>
          <w:color w:val="BF8F00"/>
          <w:sz w:val="26"/>
          <w:szCs w:val="26"/>
          <w:rtl/>
          <w:lang w:bidi="fa-IR"/>
        </w:rPr>
        <w:t>»</w:t>
      </w:r>
      <w:r w:rsidRPr="00DF637C">
        <w:rPr>
          <w:rFonts w:ascii="Traditional Arabic" w:hAnsi="Traditional Arabic" w:cs="Abz-2 (Badr)"/>
          <w:color w:val="000000" w:themeColor="text1"/>
          <w:sz w:val="28"/>
          <w:szCs w:val="28"/>
          <w:vertAlign w:val="superscript"/>
          <w:rtl/>
          <w:lang w:bidi="ar"/>
        </w:rPr>
        <w:footnoteReference w:id="6"/>
      </w:r>
      <w:r w:rsidRPr="00F02E77">
        <w:rPr>
          <w:rFonts w:ascii="Traditional Arabic" w:hAnsi="Traditional Arabic" w:cs="Abz-2 (Badr)" w:hint="cs"/>
          <w:color w:val="000000" w:themeColor="text1"/>
          <w:sz w:val="28"/>
          <w:szCs w:val="28"/>
          <w:rtl/>
          <w:lang w:bidi="fa-IR"/>
        </w:rPr>
        <w:t xml:space="preserve"> می</w:t>
      </w:r>
      <w:r w:rsidRPr="00F02E77">
        <w:rPr>
          <w:rFonts w:ascii="Traditional Arabic" w:hAnsi="Traditional Arabic" w:cs="Abz-2 (Badr)"/>
          <w:color w:val="000000" w:themeColor="text1"/>
          <w:sz w:val="28"/>
          <w:szCs w:val="28"/>
          <w:rtl/>
          <w:lang w:bidi="fa-IR"/>
        </w:rPr>
        <w:softHyphen/>
      </w:r>
      <w:r w:rsidRPr="00F02E77">
        <w:rPr>
          <w:rFonts w:ascii="Traditional Arabic" w:hAnsi="Traditional Arabic" w:cs="Abz-2 (Badr)" w:hint="cs"/>
          <w:color w:val="000000" w:themeColor="text1"/>
          <w:sz w:val="28"/>
          <w:szCs w:val="28"/>
          <w:rtl/>
          <w:lang w:bidi="fa-IR"/>
        </w:rPr>
        <w:t>باشد که در طريقه استدلال به آن می</w:t>
      </w:r>
      <w:r w:rsidRPr="00F02E77">
        <w:rPr>
          <w:rFonts w:ascii="Traditional Arabic" w:hAnsi="Traditional Arabic" w:cs="Abz-2 (Badr)"/>
          <w:color w:val="000000" w:themeColor="text1"/>
          <w:sz w:val="28"/>
          <w:szCs w:val="28"/>
          <w:rtl/>
          <w:lang w:bidi="fa-IR"/>
        </w:rPr>
        <w:softHyphen/>
      </w:r>
      <w:r w:rsidRPr="00F02E77">
        <w:rPr>
          <w:rFonts w:ascii="Traditional Arabic" w:hAnsi="Traditional Arabic" w:cs="Abz-2 (Badr)" w:hint="cs"/>
          <w:color w:val="000000" w:themeColor="text1"/>
          <w:sz w:val="28"/>
          <w:szCs w:val="28"/>
          <w:rtl/>
          <w:lang w:bidi="fa-IR"/>
        </w:rPr>
        <w:t xml:space="preserve">فرمايد: </w:t>
      </w:r>
      <w:r w:rsidRPr="00F02E77">
        <w:rPr>
          <w:rFonts w:ascii="Traditional Arabic" w:hAnsi="Traditional Arabic" w:cs="Abz-2 (Badr)" w:hint="cs"/>
          <w:color w:val="0070C0"/>
          <w:sz w:val="28"/>
          <w:szCs w:val="28"/>
          <w:rtl/>
          <w:lang w:bidi="fa-IR"/>
        </w:rPr>
        <w:t>«مع</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وجودهما،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كان</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تفصيل</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الأمر</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بينهما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شرعاً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على</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ما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عرفت،</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أمّا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مع</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موت</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أحدهما،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يبقى</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الآخر</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بلا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معارض،</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فلا</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يضارّ</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بأخذ</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الولد</w:t>
      </w:r>
      <w:r w:rsidRPr="00F02E77">
        <w:rPr>
          <w:rFonts w:ascii="Traditional Arabic" w:hAnsi="Traditional Arabic" w:cs="Abz-2 (Badr)"/>
          <w:color w:val="0070C0"/>
          <w:sz w:val="28"/>
          <w:szCs w:val="28"/>
          <w:rtl/>
          <w:lang w:bidi="fa-IR"/>
        </w:rPr>
        <w:t xml:space="preserve"> </w:t>
      </w:r>
      <w:r w:rsidRPr="00F02E77">
        <w:rPr>
          <w:rFonts w:ascii="Traditional Arabic" w:hAnsi="Traditional Arabic" w:cs="Abz-2 (Badr)" w:hint="cs"/>
          <w:color w:val="0070C0"/>
          <w:sz w:val="28"/>
          <w:szCs w:val="28"/>
          <w:rtl/>
          <w:lang w:bidi="fa-IR"/>
        </w:rPr>
        <w:t>منه.»</w:t>
      </w:r>
      <w:r>
        <w:rPr>
          <w:rStyle w:val="FootnoteReference"/>
          <w:rFonts w:eastAsiaTheme="majorEastAsia" w:cs="Abz-2 (Badr)"/>
          <w:rtl/>
          <w:lang w:bidi="ar"/>
        </w:rPr>
        <w:footnoteReference w:id="7"/>
      </w:r>
    </w:p>
    <w:p w14:paraId="2F39B812" w14:textId="77777777" w:rsidR="0030209B" w:rsidRPr="007C298E" w:rsidRDefault="0030209B" w:rsidP="0030209B">
      <w:pPr>
        <w:widowControl w:val="0"/>
        <w:bidi/>
        <w:spacing w:after="0" w:line="250" w:lineRule="auto"/>
        <w:ind w:firstLine="284"/>
        <w:jc w:val="both"/>
        <w:rPr>
          <w:rFonts w:ascii="Traditional Arabic" w:hAnsi="Traditional Arabic" w:cs="Abz-2 (Badr)"/>
          <w:color w:val="000000" w:themeColor="text1"/>
          <w:sz w:val="28"/>
          <w:szCs w:val="28"/>
          <w:rtl/>
          <w:lang w:bidi="fa-IR"/>
        </w:rPr>
      </w:pPr>
      <w:r w:rsidRPr="007C298E">
        <w:rPr>
          <w:rFonts w:ascii="Traditional Arabic" w:hAnsi="Traditional Arabic" w:cs="Abz-2 (Badr)" w:hint="cs"/>
          <w:color w:val="000000" w:themeColor="text1"/>
          <w:sz w:val="28"/>
          <w:szCs w:val="28"/>
          <w:rtl/>
          <w:lang w:bidi="fa-IR"/>
        </w:rPr>
        <w:t>حق اين است که استدلال مذکور قابل التزام است</w:t>
      </w:r>
      <w:r>
        <w:rPr>
          <w:rFonts w:ascii="Traditional Arabic" w:hAnsi="Traditional Arabic" w:cs="Abz-2 (Badr)" w:hint="cs"/>
          <w:color w:val="000000" w:themeColor="text1"/>
          <w:sz w:val="28"/>
          <w:szCs w:val="28"/>
          <w:rtl/>
          <w:lang w:bidi="fa-IR"/>
        </w:rPr>
        <w:t xml:space="preserve"> و از اطلاق آيه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چنين معنايی را برداشت نمود، هرچند تطبيق آيه در اخباری که سابقاً گذشت مربوط به موردی است که پدر به مادر ايراد ضرر نمايد، ولی اين مسأله سبب اختصاص آيه به اين مورد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w:t>
      </w:r>
    </w:p>
    <w:p w14:paraId="545760DC" w14:textId="77777777" w:rsidR="0030209B" w:rsidRDefault="0030209B" w:rsidP="0030209B">
      <w:pPr>
        <w:widowControl w:val="0"/>
        <w:bidi/>
        <w:spacing w:after="0" w:line="250" w:lineRule="auto"/>
        <w:ind w:firstLine="284"/>
        <w:jc w:val="both"/>
        <w:rPr>
          <w:rFonts w:cs="Abz-2 (Badr)"/>
          <w:sz w:val="28"/>
          <w:szCs w:val="28"/>
          <w:rtl/>
          <w:lang w:bidi="fa-IR"/>
        </w:rPr>
      </w:pPr>
      <w:r>
        <w:rPr>
          <w:rFonts w:cs="Abz-2 (Badr)" w:hint="cs"/>
          <w:sz w:val="28"/>
          <w:szCs w:val="28"/>
          <w:rtl/>
          <w:lang w:bidi="fa-IR"/>
        </w:rPr>
        <w:t>اما آيا تقدّم حق مادر در صورتی که مادر ازدواج کرده باشد نيز برقرار است؟</w:t>
      </w:r>
    </w:p>
    <w:p w14:paraId="372BABFE" w14:textId="77777777" w:rsidR="0030209B" w:rsidRDefault="0030209B" w:rsidP="0030209B">
      <w:pPr>
        <w:widowControl w:val="0"/>
        <w:bidi/>
        <w:spacing w:after="0" w:line="250" w:lineRule="auto"/>
        <w:ind w:firstLine="284"/>
        <w:jc w:val="both"/>
        <w:rPr>
          <w:rFonts w:cs="Abz-2 (Badr)"/>
          <w:sz w:val="28"/>
          <w:szCs w:val="28"/>
          <w:rtl/>
          <w:lang w:bidi="fa-IR"/>
        </w:rPr>
      </w:pPr>
      <w:r>
        <w:rPr>
          <w:rFonts w:cs="Abz-2 (Badr)" w:hint="cs"/>
          <w:sz w:val="28"/>
          <w:szCs w:val="28"/>
          <w:rtl/>
          <w:lang w:bidi="fa-IR"/>
        </w:rPr>
        <w:t>علامه در تلخيص تصريح به تقدّم حق مادر ولو در فرض مذکور کرده است و می</w:t>
      </w:r>
      <w:r>
        <w:rPr>
          <w:rFonts w:cs="Abz-2 (Badr)"/>
          <w:sz w:val="28"/>
          <w:szCs w:val="28"/>
          <w:rtl/>
          <w:lang w:bidi="fa-IR"/>
        </w:rPr>
        <w:softHyphen/>
      </w:r>
      <w:r>
        <w:rPr>
          <w:rFonts w:cs="Abz-2 (Badr)" w:hint="cs"/>
          <w:sz w:val="28"/>
          <w:szCs w:val="28"/>
          <w:rtl/>
          <w:lang w:bidi="fa-IR"/>
        </w:rPr>
        <w:t xml:space="preserve">فرمايد: </w:t>
      </w:r>
      <w:r w:rsidRPr="00BD7E7D">
        <w:rPr>
          <w:rFonts w:cs="Abz-2 (Badr)" w:hint="cs"/>
          <w:color w:val="0070C0"/>
          <w:sz w:val="28"/>
          <w:szCs w:val="28"/>
          <w:rtl/>
          <w:lang w:bidi="fa-IR"/>
        </w:rPr>
        <w:t>«</w:t>
      </w:r>
      <w:r w:rsidRPr="00BD7E7D">
        <w:rPr>
          <w:rFonts w:cs="Abz-2 (Badr)"/>
          <w:color w:val="0070C0"/>
          <w:sz w:val="28"/>
          <w:szCs w:val="28"/>
          <w:rtl/>
          <w:lang w:bidi="fa-IR"/>
        </w:rPr>
        <w:t>ولو تزوّجت الأ</w:t>
      </w:r>
      <w:r w:rsidRPr="00BD7E7D">
        <w:rPr>
          <w:rFonts w:cs="Abz-2 (Badr)" w:hint="cs"/>
          <w:color w:val="0070C0"/>
          <w:sz w:val="28"/>
          <w:szCs w:val="28"/>
          <w:rtl/>
          <w:lang w:bidi="fa-IR"/>
        </w:rPr>
        <w:t>ُ</w:t>
      </w:r>
      <w:r w:rsidRPr="00BD7E7D">
        <w:rPr>
          <w:rFonts w:cs="Abz-2 (Badr)"/>
          <w:color w:val="0070C0"/>
          <w:sz w:val="28"/>
          <w:szCs w:val="28"/>
          <w:rtl/>
          <w:lang w:bidi="fa-IR"/>
        </w:rPr>
        <w:t>مّ سقطت حضانتها إلا أن يموت الأب</w:t>
      </w:r>
      <w:r w:rsidRPr="00BD7E7D">
        <w:rPr>
          <w:rFonts w:cs="Abz-2 (Badr)" w:hint="cs"/>
          <w:color w:val="0070C0"/>
          <w:sz w:val="28"/>
          <w:szCs w:val="28"/>
          <w:rtl/>
          <w:lang w:bidi="fa-IR"/>
        </w:rPr>
        <w:t>.»</w:t>
      </w:r>
      <w:r>
        <w:rPr>
          <w:rStyle w:val="FootnoteReference"/>
          <w:rFonts w:eastAsiaTheme="majorEastAsia" w:cs="Abz-2 (Badr)"/>
          <w:rtl/>
          <w:lang w:bidi="ar"/>
        </w:rPr>
        <w:footnoteReference w:id="8"/>
      </w:r>
      <w:r>
        <w:rPr>
          <w:rFonts w:cs="Abz-2 (Badr)" w:hint="cs"/>
          <w:sz w:val="28"/>
          <w:szCs w:val="28"/>
          <w:rtl/>
          <w:lang w:bidi="fa-IR"/>
        </w:rPr>
        <w:t xml:space="preserve"> در ارشاد نيز نظير همين مطلب را فرموده است.</w:t>
      </w:r>
      <w:r>
        <w:rPr>
          <w:rStyle w:val="FootnoteReference"/>
          <w:rFonts w:eastAsiaTheme="majorEastAsia" w:cs="Abz-2 (Badr)"/>
          <w:rtl/>
          <w:lang w:bidi="ar"/>
        </w:rPr>
        <w:footnoteReference w:id="9"/>
      </w:r>
    </w:p>
    <w:p w14:paraId="21720179" w14:textId="77777777" w:rsidR="0030209B" w:rsidRPr="00305A13" w:rsidRDefault="0030209B" w:rsidP="0030209B">
      <w:pPr>
        <w:widowControl w:val="0"/>
        <w:bidi/>
        <w:spacing w:after="0" w:line="250" w:lineRule="auto"/>
        <w:ind w:firstLine="284"/>
        <w:jc w:val="both"/>
        <w:rPr>
          <w:rFonts w:cs="Abz-2 (Badr)"/>
          <w:spacing w:val="-2"/>
          <w:sz w:val="28"/>
          <w:szCs w:val="28"/>
          <w:rtl/>
          <w:lang w:bidi="fa-IR"/>
        </w:rPr>
      </w:pPr>
      <w:r w:rsidRPr="00305A13">
        <w:rPr>
          <w:rFonts w:cs="Abz-2 (Badr)" w:hint="cs"/>
          <w:spacing w:val="-2"/>
          <w:sz w:val="28"/>
          <w:szCs w:val="28"/>
          <w:rtl/>
          <w:lang w:bidi="fa-IR"/>
        </w:rPr>
        <w:t>البته ممکن است کلام علامه حمل بر اين شود که اگر پدر در مدتی که مادر حق حضانت دارد ـ يعنی تا دو سال يا هفت سال ـ از دنيا برود، نکاح مادر در اين مدت موجب سقوط حق حضانت وی نمی</w:t>
      </w:r>
      <w:r w:rsidRPr="00305A13">
        <w:rPr>
          <w:rFonts w:cs="Abz-2 (Badr)"/>
          <w:spacing w:val="-2"/>
          <w:sz w:val="28"/>
          <w:szCs w:val="28"/>
          <w:rtl/>
          <w:lang w:bidi="fa-IR"/>
        </w:rPr>
        <w:softHyphen/>
      </w:r>
      <w:r w:rsidRPr="00305A13">
        <w:rPr>
          <w:rFonts w:cs="Abz-2 (Badr)" w:hint="cs"/>
          <w:spacing w:val="-2"/>
          <w:sz w:val="28"/>
          <w:szCs w:val="28"/>
          <w:rtl/>
          <w:lang w:bidi="fa-IR"/>
        </w:rPr>
        <w:t>شود، نه اين که مرگ پدر پس از مدت مذکور، سبب می</w:t>
      </w:r>
      <w:r w:rsidRPr="00305A13">
        <w:rPr>
          <w:rFonts w:cs="Abz-2 (Badr)"/>
          <w:spacing w:val="-2"/>
          <w:sz w:val="28"/>
          <w:szCs w:val="28"/>
          <w:rtl/>
          <w:lang w:bidi="fa-IR"/>
        </w:rPr>
        <w:softHyphen/>
      </w:r>
      <w:r w:rsidRPr="00305A13">
        <w:rPr>
          <w:rFonts w:cs="Abz-2 (Badr)" w:hint="cs"/>
          <w:spacing w:val="-2"/>
          <w:sz w:val="28"/>
          <w:szCs w:val="28"/>
          <w:rtl/>
          <w:lang w:bidi="fa-IR"/>
        </w:rPr>
        <w:t xml:space="preserve">شود که مادر تقدّم بر غير در حضانت پيدا کند ولو ازدواج کرده باشد، زيرا تعبير موجود در کلام </w:t>
      </w:r>
      <w:r w:rsidRPr="00305A13">
        <w:rPr>
          <w:rFonts w:cs="Abz-2 (Badr)" w:hint="cs"/>
          <w:spacing w:val="-2"/>
          <w:sz w:val="28"/>
          <w:szCs w:val="28"/>
          <w:rtl/>
          <w:lang w:bidi="fa-IR"/>
        </w:rPr>
        <w:lastRenderedPageBreak/>
        <w:t xml:space="preserve">ايشان، سقوط حق حضانت مگر در صورت مرگ پدر است، نه تقدّم مادر در حضانت در جايی که پدر از دنيا برود. </w:t>
      </w:r>
    </w:p>
    <w:p w14:paraId="2DAF3C66" w14:textId="77777777" w:rsidR="0030209B" w:rsidRDefault="0030209B" w:rsidP="0030209B">
      <w:pPr>
        <w:widowControl w:val="0"/>
        <w:bidi/>
        <w:spacing w:after="0" w:line="250" w:lineRule="auto"/>
        <w:ind w:firstLine="284"/>
        <w:jc w:val="both"/>
        <w:rPr>
          <w:rFonts w:cs="Abz-2 (Badr)"/>
          <w:sz w:val="28"/>
          <w:szCs w:val="28"/>
          <w:rtl/>
          <w:lang w:bidi="fa-IR"/>
        </w:rPr>
      </w:pPr>
      <w:r>
        <w:rPr>
          <w:rFonts w:cs="Abz-2 (Badr)" w:hint="cs"/>
          <w:sz w:val="28"/>
          <w:szCs w:val="28"/>
          <w:rtl/>
          <w:lang w:bidi="fa-IR"/>
        </w:rPr>
        <w:t>در هر حال، اطلاق کلمات باقی اصحاب ـ مانند محقق حلی ـ مبنی بر تقدّم حق حضانت مادر در صورت مرگ پدر، شامل حالتی که مادر ازدواج کرده باشد نيز می</w:t>
      </w:r>
      <w:r>
        <w:rPr>
          <w:rFonts w:cs="Abz-2 (Badr)"/>
          <w:sz w:val="28"/>
          <w:szCs w:val="28"/>
          <w:rtl/>
          <w:lang w:bidi="fa-IR"/>
        </w:rPr>
        <w:softHyphen/>
      </w:r>
      <w:r>
        <w:rPr>
          <w:rFonts w:cs="Abz-2 (Badr)" w:hint="cs"/>
          <w:sz w:val="28"/>
          <w:szCs w:val="28"/>
          <w:rtl/>
          <w:lang w:bidi="fa-IR"/>
        </w:rPr>
        <w:t>شود.</w:t>
      </w:r>
    </w:p>
    <w:p w14:paraId="36ACECCC" w14:textId="77777777" w:rsidR="0030209B" w:rsidRPr="00BD7E7D" w:rsidRDefault="0030209B" w:rsidP="0030209B">
      <w:pPr>
        <w:widowControl w:val="0"/>
        <w:bidi/>
        <w:spacing w:after="0" w:line="250" w:lineRule="auto"/>
        <w:ind w:firstLine="284"/>
        <w:jc w:val="both"/>
        <w:rPr>
          <w:rFonts w:cs="Abz-2 (Badr)"/>
          <w:sz w:val="28"/>
          <w:szCs w:val="28"/>
          <w:rtl/>
          <w:lang w:bidi="fa-IR"/>
        </w:rPr>
      </w:pPr>
      <w:r>
        <w:rPr>
          <w:rFonts w:cs="Abz-2 (Badr)" w:hint="cs"/>
          <w:sz w:val="28"/>
          <w:szCs w:val="28"/>
          <w:rtl/>
          <w:lang w:bidi="fa-IR"/>
        </w:rPr>
        <w:t>اما شهيد ثانی احتمال می</w:t>
      </w:r>
      <w:r>
        <w:rPr>
          <w:rFonts w:cs="Abz-2 (Badr)"/>
          <w:sz w:val="28"/>
          <w:szCs w:val="28"/>
          <w:rtl/>
          <w:lang w:bidi="fa-IR"/>
        </w:rPr>
        <w:softHyphen/>
      </w:r>
      <w:r>
        <w:rPr>
          <w:rFonts w:cs="Abz-2 (Badr)" w:hint="cs"/>
          <w:sz w:val="28"/>
          <w:szCs w:val="28"/>
          <w:rtl/>
          <w:lang w:bidi="fa-IR"/>
        </w:rPr>
        <w:t>دهد که مراد اصحاب از تقدّم مادر، فقط در صورتی باشد که ازدواج نکره باشد و می</w:t>
      </w:r>
      <w:r>
        <w:rPr>
          <w:rFonts w:cs="Abz-2 (Badr)"/>
          <w:sz w:val="28"/>
          <w:szCs w:val="28"/>
          <w:rtl/>
          <w:lang w:bidi="fa-IR"/>
        </w:rPr>
        <w:softHyphen/>
      </w:r>
      <w:r>
        <w:rPr>
          <w:rFonts w:cs="Abz-2 (Badr)" w:hint="cs"/>
          <w:sz w:val="28"/>
          <w:szCs w:val="28"/>
          <w:rtl/>
          <w:lang w:bidi="fa-IR"/>
        </w:rPr>
        <w:t xml:space="preserve">فرمايد: </w:t>
      </w:r>
      <w:r w:rsidRPr="00BD7E7D">
        <w:rPr>
          <w:rFonts w:cs="Abz-2 (Badr)" w:hint="cs"/>
          <w:color w:val="0070C0"/>
          <w:sz w:val="28"/>
          <w:szCs w:val="28"/>
          <w:rtl/>
          <w:lang w:bidi="fa-IR"/>
        </w:rPr>
        <w:t>«</w:t>
      </w:r>
      <w:r w:rsidRPr="00BD7E7D">
        <w:rPr>
          <w:rFonts w:cs="Abz-2 (Badr)"/>
          <w:color w:val="0070C0"/>
          <w:sz w:val="28"/>
          <w:szCs w:val="28"/>
          <w:rtl/>
          <w:lang w:bidi="ar"/>
        </w:rPr>
        <w:t>باقي عبارات الأصحاب في ذلك مجملة كعبارة المصن</w:t>
      </w:r>
      <w:r w:rsidRPr="00BD7E7D">
        <w:rPr>
          <w:rFonts w:cs="Abz-2 (Badr)" w:hint="cs"/>
          <w:color w:val="0070C0"/>
          <w:sz w:val="28"/>
          <w:szCs w:val="28"/>
          <w:rtl/>
          <w:lang w:bidi="ar"/>
        </w:rPr>
        <w:t>ّ</w:t>
      </w:r>
      <w:r w:rsidRPr="00BD7E7D">
        <w:rPr>
          <w:rFonts w:cs="Abz-2 (Badr)"/>
          <w:color w:val="0070C0"/>
          <w:sz w:val="28"/>
          <w:szCs w:val="28"/>
          <w:rtl/>
          <w:lang w:bidi="ar"/>
        </w:rPr>
        <w:t>ف محتملة لتقييدها بكونها غير مزوّجة</w:t>
      </w:r>
      <w:r w:rsidRPr="00BD7E7D">
        <w:rPr>
          <w:rFonts w:cs="Abz-2 (Badr)" w:hint="cs"/>
          <w:color w:val="0070C0"/>
          <w:sz w:val="28"/>
          <w:szCs w:val="28"/>
          <w:rtl/>
          <w:lang w:bidi="ar"/>
        </w:rPr>
        <w:t>،</w:t>
      </w:r>
      <w:r w:rsidRPr="00BD7E7D">
        <w:rPr>
          <w:rFonts w:cs="Abz-2 (Badr)"/>
          <w:color w:val="0070C0"/>
          <w:sz w:val="28"/>
          <w:szCs w:val="28"/>
          <w:rtl/>
          <w:lang w:bidi="ar"/>
        </w:rPr>
        <w:t xml:space="preserve"> نظرا</w:t>
      </w:r>
      <w:r w:rsidRPr="00BD7E7D">
        <w:rPr>
          <w:rFonts w:cs="Abz-2 (Badr)" w:hint="cs"/>
          <w:color w:val="0070C0"/>
          <w:sz w:val="28"/>
          <w:szCs w:val="28"/>
          <w:rtl/>
          <w:lang w:bidi="ar"/>
        </w:rPr>
        <w:t>ً</w:t>
      </w:r>
      <w:r w:rsidRPr="00BD7E7D">
        <w:rPr>
          <w:rFonts w:cs="Abz-2 (Badr)"/>
          <w:color w:val="0070C0"/>
          <w:sz w:val="28"/>
          <w:szCs w:val="28"/>
          <w:rtl/>
          <w:lang w:bidi="ar"/>
        </w:rPr>
        <w:t xml:space="preserve"> إلى أن</w:t>
      </w:r>
      <w:r w:rsidRPr="00BD7E7D">
        <w:rPr>
          <w:rFonts w:cs="Abz-2 (Badr)" w:hint="cs"/>
          <w:color w:val="0070C0"/>
          <w:sz w:val="28"/>
          <w:szCs w:val="28"/>
          <w:rtl/>
          <w:lang w:bidi="ar"/>
        </w:rPr>
        <w:t>ّ</w:t>
      </w:r>
      <w:r w:rsidRPr="00BD7E7D">
        <w:rPr>
          <w:rFonts w:cs="Abz-2 (Badr)"/>
          <w:color w:val="0070C0"/>
          <w:sz w:val="28"/>
          <w:szCs w:val="28"/>
          <w:rtl/>
          <w:lang w:bidi="ar"/>
        </w:rPr>
        <w:t>ه شرط في الحضانة مطلقا</w:t>
      </w:r>
      <w:r w:rsidRPr="00BD7E7D">
        <w:rPr>
          <w:rFonts w:cs="Abz-2 (Badr)" w:hint="cs"/>
          <w:color w:val="0070C0"/>
          <w:sz w:val="28"/>
          <w:szCs w:val="28"/>
          <w:rtl/>
          <w:lang w:bidi="ar"/>
        </w:rPr>
        <w:t>ً</w:t>
      </w:r>
      <w:r w:rsidRPr="00BD7E7D">
        <w:rPr>
          <w:rFonts w:cs="Abz-2 (Badr)"/>
          <w:color w:val="0070C0"/>
          <w:sz w:val="28"/>
          <w:szCs w:val="28"/>
          <w:rtl/>
          <w:lang w:bidi="ar"/>
        </w:rPr>
        <w:t>، وإلى التعليل المذكور باشتغالها بحقوق الزوج</w:t>
      </w:r>
      <w:r w:rsidRPr="00BD7E7D">
        <w:rPr>
          <w:rFonts w:cs="Abz-2 (Badr)" w:hint="cs"/>
          <w:color w:val="0070C0"/>
          <w:sz w:val="28"/>
          <w:szCs w:val="28"/>
          <w:rtl/>
          <w:lang w:bidi="ar"/>
        </w:rPr>
        <w:t>،</w:t>
      </w:r>
      <w:r w:rsidRPr="00BD7E7D">
        <w:rPr>
          <w:rFonts w:cs="Abz-2 (Badr)"/>
          <w:color w:val="0070C0"/>
          <w:sz w:val="28"/>
          <w:szCs w:val="28"/>
          <w:rtl/>
          <w:lang w:bidi="ar"/>
        </w:rPr>
        <w:t xml:space="preserve"> فإن</w:t>
      </w:r>
      <w:r w:rsidRPr="00BD7E7D">
        <w:rPr>
          <w:rFonts w:cs="Abz-2 (Badr)" w:hint="cs"/>
          <w:color w:val="0070C0"/>
          <w:sz w:val="28"/>
          <w:szCs w:val="28"/>
          <w:rtl/>
          <w:lang w:bidi="ar"/>
        </w:rPr>
        <w:t>ّ</w:t>
      </w:r>
      <w:r w:rsidRPr="00BD7E7D">
        <w:rPr>
          <w:rFonts w:cs="Abz-2 (Badr)"/>
          <w:color w:val="0070C0"/>
          <w:sz w:val="28"/>
          <w:szCs w:val="28"/>
          <w:rtl/>
          <w:lang w:bidi="ar"/>
        </w:rPr>
        <w:t>ه آت</w:t>
      </w:r>
      <w:r w:rsidRPr="00BD7E7D">
        <w:rPr>
          <w:rFonts w:cs="Abz-2 (Badr)" w:hint="cs"/>
          <w:color w:val="0070C0"/>
          <w:sz w:val="28"/>
          <w:szCs w:val="28"/>
          <w:rtl/>
          <w:lang w:bidi="ar"/>
        </w:rPr>
        <w:t>ٍ</w:t>
      </w:r>
      <w:r w:rsidRPr="00BD7E7D">
        <w:rPr>
          <w:rFonts w:cs="Abz-2 (Badr)"/>
          <w:color w:val="0070C0"/>
          <w:sz w:val="28"/>
          <w:szCs w:val="28"/>
          <w:rtl/>
          <w:lang w:bidi="ar"/>
        </w:rPr>
        <w:t xml:space="preserve"> هنا</w:t>
      </w:r>
      <w:r w:rsidRPr="00BD7E7D">
        <w:rPr>
          <w:rFonts w:cs="Abz-2 (Badr)" w:hint="cs"/>
          <w:color w:val="0070C0"/>
          <w:sz w:val="28"/>
          <w:szCs w:val="28"/>
          <w:rtl/>
          <w:lang w:bidi="ar"/>
        </w:rPr>
        <w:t>.»</w:t>
      </w:r>
      <w:r>
        <w:rPr>
          <w:rStyle w:val="FootnoteReference"/>
          <w:rFonts w:eastAsiaTheme="majorEastAsia" w:cs="Abz-2 (Badr)"/>
          <w:rtl/>
          <w:lang w:bidi="ar"/>
        </w:rPr>
        <w:footnoteReference w:id="10"/>
      </w:r>
    </w:p>
    <w:p w14:paraId="23051C7D" w14:textId="77777777" w:rsidR="0030209B" w:rsidRDefault="0030209B" w:rsidP="0030209B">
      <w:pPr>
        <w:widowControl w:val="0"/>
        <w:bidi/>
        <w:spacing w:after="0"/>
        <w:ind w:firstLine="284"/>
        <w:jc w:val="both"/>
        <w:rPr>
          <w:rFonts w:cs="Abz-2 (Badr)"/>
          <w:sz w:val="28"/>
          <w:szCs w:val="28"/>
          <w:rtl/>
          <w:lang w:bidi="fa-IR"/>
        </w:rPr>
      </w:pPr>
      <w:r>
        <w:rPr>
          <w:rFonts w:cs="Abz-2 (Badr)" w:hint="cs"/>
          <w:sz w:val="28"/>
          <w:szCs w:val="28"/>
          <w:rtl/>
          <w:lang w:bidi="fa-IR"/>
        </w:rPr>
        <w:t>هرچند در ادامه اين احتمال را نفی کرده و حکم به تقدّم حق مادر به نحو مطلق می</w:t>
      </w:r>
      <w:r>
        <w:rPr>
          <w:rFonts w:cs="Abz-2 (Badr)"/>
          <w:sz w:val="28"/>
          <w:szCs w:val="28"/>
          <w:rtl/>
          <w:lang w:bidi="fa-IR"/>
        </w:rPr>
        <w:softHyphen/>
      </w:r>
      <w:r>
        <w:rPr>
          <w:rFonts w:cs="Abz-2 (Badr)" w:hint="cs"/>
          <w:sz w:val="28"/>
          <w:szCs w:val="28"/>
          <w:rtl/>
          <w:lang w:bidi="fa-IR"/>
        </w:rPr>
        <w:t>نمايد.</w:t>
      </w:r>
    </w:p>
    <w:p w14:paraId="16229ABD" w14:textId="77777777" w:rsidR="0030209B" w:rsidRPr="00FE7F1F" w:rsidRDefault="0030209B" w:rsidP="0030209B">
      <w:pPr>
        <w:widowControl w:val="0"/>
        <w:bidi/>
        <w:spacing w:after="0"/>
        <w:ind w:firstLine="284"/>
        <w:jc w:val="both"/>
        <w:rPr>
          <w:rFonts w:cs="Abz-2 (Badr)"/>
          <w:sz w:val="28"/>
          <w:szCs w:val="28"/>
          <w:rtl/>
          <w:lang w:bidi="fa-IR"/>
        </w:rPr>
      </w:pPr>
      <w:r>
        <w:rPr>
          <w:rFonts w:cs="Abz-2 (Badr)" w:hint="cs"/>
          <w:sz w:val="28"/>
          <w:szCs w:val="28"/>
          <w:rtl/>
          <w:lang w:bidi="fa-IR"/>
        </w:rPr>
        <w:t>صاحب رياض نيز پاسخی به وجود احتمال مذکور داده</w:t>
      </w:r>
      <w:r>
        <w:rPr>
          <w:rFonts w:cs="Abz-2 (Badr)"/>
          <w:sz w:val="28"/>
          <w:szCs w:val="28"/>
          <w:rtl/>
          <w:lang w:bidi="fa-IR"/>
        </w:rPr>
        <w:softHyphen/>
      </w:r>
      <w:r>
        <w:rPr>
          <w:rFonts w:cs="Abz-2 (Badr)" w:hint="cs"/>
          <w:sz w:val="28"/>
          <w:szCs w:val="28"/>
          <w:rtl/>
          <w:lang w:bidi="fa-IR"/>
        </w:rPr>
        <w:t>اند که جلسه آينده آن را بيان خواهيم کرد ان شاء الله.</w:t>
      </w:r>
    </w:p>
    <w:bookmarkEnd w:id="0"/>
    <w:p w14:paraId="358854CE" w14:textId="2276C044" w:rsidR="0027088A" w:rsidRPr="0030209B" w:rsidRDefault="0027088A" w:rsidP="0030209B"/>
    <w:sectPr w:rsidR="0027088A" w:rsidRPr="0030209B"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81CF5" w14:textId="77777777" w:rsidR="00A02314" w:rsidRDefault="00A02314" w:rsidP="00F71127">
      <w:pPr>
        <w:spacing w:after="0" w:line="240" w:lineRule="auto"/>
      </w:pPr>
      <w:r>
        <w:separator/>
      </w:r>
    </w:p>
  </w:endnote>
  <w:endnote w:type="continuationSeparator" w:id="0">
    <w:p w14:paraId="08304E82" w14:textId="77777777" w:rsidR="00A02314" w:rsidRDefault="00A0231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Abz-1 (Lotus)">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00D" w14:textId="77777777" w:rsidR="00654038" w:rsidRDefault="0065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B76E" w14:textId="77777777" w:rsidR="00654038" w:rsidRDefault="006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923F3" w14:textId="77777777" w:rsidR="00A02314" w:rsidRDefault="00A02314" w:rsidP="00EE25C0">
      <w:pPr>
        <w:bidi/>
        <w:spacing w:after="0" w:line="240" w:lineRule="auto"/>
      </w:pPr>
      <w:r>
        <w:separator/>
      </w:r>
    </w:p>
  </w:footnote>
  <w:footnote w:type="continuationSeparator" w:id="0">
    <w:p w14:paraId="4192A4EE" w14:textId="77777777" w:rsidR="00A02314" w:rsidRDefault="00A02314" w:rsidP="00F71127">
      <w:pPr>
        <w:bidi/>
        <w:spacing w:after="0" w:line="240" w:lineRule="auto"/>
      </w:pPr>
      <w:r>
        <w:continuationSeparator/>
      </w:r>
    </w:p>
  </w:footnote>
  <w:footnote w:id="1">
    <w:p w14:paraId="48970865" w14:textId="77777777" w:rsidR="0030209B" w:rsidRPr="008700F0" w:rsidRDefault="0030209B" w:rsidP="001017A3">
      <w:pPr>
        <w:widowControl w:val="0"/>
        <w:bidi/>
        <w:spacing w:after="0" w:line="266" w:lineRule="auto"/>
        <w:jc w:val="both"/>
        <w:rPr>
          <w:rFonts w:cs="Abz-2 (Badr)"/>
          <w:rtl/>
          <w:lang w:bidi="fa-IR"/>
        </w:rPr>
      </w:pPr>
      <w:r w:rsidRPr="005321A3">
        <w:rPr>
          <w:rStyle w:val="FootnoteReference"/>
          <w:rFonts w:cs="Abz-2 (Badr)"/>
          <w:vertAlign w:val="baseline"/>
        </w:rPr>
        <w:footnoteRef/>
      </w:r>
      <w:r w:rsidRPr="008700F0">
        <w:rPr>
          <w:rFonts w:cs="Abz-2 (Badr)"/>
        </w:rPr>
        <w:t xml:space="preserve"> </w:t>
      </w:r>
      <w:r w:rsidRPr="008700F0">
        <w:rPr>
          <w:rFonts w:cs="Abz-2 (Badr)" w:hint="cs"/>
          <w:rtl/>
        </w:rPr>
        <w:t xml:space="preserve">ـ </w:t>
      </w:r>
      <w:r>
        <w:rPr>
          <w:rFonts w:cs="Abz-2 (Badr)" w:hint="cs"/>
          <w:rtl/>
        </w:rPr>
        <w:t>حدائق،ج25،ص94 و 95.</w:t>
      </w:r>
    </w:p>
  </w:footnote>
  <w:footnote w:id="2">
    <w:p w14:paraId="6529EC52" w14:textId="77777777" w:rsidR="0030209B" w:rsidRPr="005026FA" w:rsidRDefault="0030209B" w:rsidP="001017A3">
      <w:pPr>
        <w:pStyle w:val="FootnoteText"/>
        <w:bidi/>
        <w:rPr>
          <w:rFonts w:cs="Abz-2 (Badr)"/>
          <w:rtl/>
          <w:lang w:bidi="fa-IR"/>
        </w:rPr>
      </w:pPr>
      <w:r w:rsidRPr="00A56CD0">
        <w:rPr>
          <w:rStyle w:val="FootnoteReference"/>
          <w:rFonts w:cs="Abz-2 (Badr)"/>
          <w:vertAlign w:val="baseline"/>
        </w:rPr>
        <w:footnoteRef/>
      </w:r>
      <w:r w:rsidRPr="00A56CD0">
        <w:rPr>
          <w:rFonts w:cs="Abz-2 (Badr)"/>
        </w:rPr>
        <w:t xml:space="preserve"> </w:t>
      </w:r>
      <w:r>
        <w:rPr>
          <w:rFonts w:cs="Abz-2 (Badr)" w:hint="cs"/>
          <w:rtl/>
        </w:rPr>
        <w:t xml:space="preserve">ـ </w:t>
      </w:r>
      <w:r>
        <w:rPr>
          <w:rFonts w:cs="Abz-2 (Badr)" w:hint="cs"/>
          <w:rtl/>
        </w:rPr>
        <w:t>کافی،ج6،ص45،ح4 ـ وسائل،ج21،ص470 و 471،ح27611.</w:t>
      </w:r>
    </w:p>
  </w:footnote>
  <w:footnote w:id="3">
    <w:p w14:paraId="145BF9A2" w14:textId="77777777" w:rsidR="0030209B" w:rsidRPr="006C5DC9" w:rsidRDefault="0030209B" w:rsidP="001017A3">
      <w:pPr>
        <w:pStyle w:val="FootnoteText"/>
        <w:bidi/>
        <w:jc w:val="both"/>
        <w:rPr>
          <w:rFonts w:cs="Abz-2 (Badr)"/>
          <w:rtl/>
        </w:rPr>
      </w:pPr>
      <w:r w:rsidRPr="00A56CD0">
        <w:rPr>
          <w:rStyle w:val="FootnoteReference"/>
          <w:rFonts w:cs="Abz-2 (Badr)"/>
          <w:vertAlign w:val="baseline"/>
        </w:rPr>
        <w:footnoteRef/>
      </w:r>
      <w:r w:rsidRPr="00A56CD0">
        <w:rPr>
          <w:rFonts w:cs="Abz-2 (Badr)" w:hint="cs"/>
          <w:rtl/>
          <w:lang w:bidi="fa-IR"/>
        </w:rPr>
        <w:t> </w:t>
      </w:r>
      <w:r w:rsidRPr="006C5DC9">
        <w:rPr>
          <w:rFonts w:cs="Abz-2 (Badr)" w:hint="cs"/>
          <w:rtl/>
          <w:lang w:bidi="fa-IR"/>
        </w:rPr>
        <w:t>ـ کافی،ج6،ص41،ح7 ـ وسائل،ج21،ص456،ح27570.</w:t>
      </w:r>
    </w:p>
  </w:footnote>
  <w:footnote w:id="4">
    <w:p w14:paraId="5A62D960" w14:textId="13E4F0ED" w:rsidR="001017A3" w:rsidRDefault="001017A3" w:rsidP="001017A3">
      <w:pPr>
        <w:pStyle w:val="FootnoteText"/>
        <w:tabs>
          <w:tab w:val="left" w:pos="8102"/>
          <w:tab w:val="right" w:pos="9404"/>
        </w:tabs>
        <w:jc w:val="right"/>
        <w:rPr>
          <w:rFonts w:hint="cs"/>
          <w:rtl/>
          <w:lang w:bidi="fa-IR"/>
        </w:rPr>
      </w:pPr>
      <w:r>
        <w:rPr>
          <w:rFonts w:hint="cs"/>
          <w:rtl/>
          <w:lang w:bidi="fa-IR"/>
        </w:rPr>
        <w:t>2-</w:t>
      </w:r>
      <w:r w:rsidRPr="001017A3">
        <w:rPr>
          <w:rFonts w:cs="Arial"/>
          <w:rtl/>
          <w:lang w:bidi="fa-IR"/>
        </w:rPr>
        <w:t xml:space="preserve"> </w:t>
      </w:r>
      <w:r w:rsidRPr="001017A3">
        <w:rPr>
          <w:rFonts w:cs="Abz-1 (Lotus)"/>
          <w:rtl/>
          <w:lang w:bidi="fa-IR"/>
        </w:rPr>
        <w:t>مقنعه،ص531</w:t>
      </w:r>
    </w:p>
  </w:footnote>
  <w:footnote w:id="5">
    <w:p w14:paraId="27846849" w14:textId="77777777" w:rsidR="0030209B" w:rsidRPr="00FE7F1F" w:rsidRDefault="0030209B" w:rsidP="001017A3">
      <w:pPr>
        <w:widowControl w:val="0"/>
        <w:bidi/>
        <w:spacing w:after="0" w:line="240" w:lineRule="auto"/>
        <w:jc w:val="both"/>
        <w:rPr>
          <w:rFonts w:cs="Abz-2 (Badr)"/>
          <w:sz w:val="20"/>
          <w:szCs w:val="20"/>
          <w:rtl/>
          <w:lang w:bidi="fa-IR"/>
        </w:rPr>
      </w:pPr>
      <w:r w:rsidRPr="00FE7F1F">
        <w:rPr>
          <w:rStyle w:val="FootnoteReference"/>
          <w:rFonts w:cs="Abz-2 (Badr)"/>
          <w:sz w:val="20"/>
          <w:szCs w:val="20"/>
          <w:vertAlign w:val="baseline"/>
        </w:rPr>
        <w:footnoteRef/>
      </w:r>
      <w:r w:rsidRPr="00FE7F1F">
        <w:rPr>
          <w:rFonts w:cs="Abz-2 (Badr)"/>
          <w:sz w:val="20"/>
          <w:szCs w:val="20"/>
        </w:rPr>
        <w:t xml:space="preserve"> </w:t>
      </w:r>
      <w:r w:rsidRPr="00FE7F1F">
        <w:rPr>
          <w:rFonts w:cs="Abz-2 (Badr)" w:hint="cs"/>
          <w:sz w:val="20"/>
          <w:szCs w:val="20"/>
          <w:rtl/>
        </w:rPr>
        <w:t>ـ جواهر،ج31،ص293 و 294.</w:t>
      </w:r>
    </w:p>
  </w:footnote>
  <w:footnote w:id="6">
    <w:p w14:paraId="1DA18759" w14:textId="77777777" w:rsidR="0030209B" w:rsidRPr="00FE7F1F" w:rsidRDefault="0030209B" w:rsidP="001017A3">
      <w:pPr>
        <w:pStyle w:val="FootnoteText"/>
        <w:bidi/>
        <w:jc w:val="both"/>
        <w:rPr>
          <w:rFonts w:cs="Abz-2 (Badr)"/>
          <w:rtl/>
        </w:rPr>
      </w:pPr>
      <w:r w:rsidRPr="00FE7F1F">
        <w:rPr>
          <w:rStyle w:val="FootnoteReference"/>
          <w:rFonts w:cs="Abz-2 (Badr)"/>
          <w:vertAlign w:val="baseline"/>
        </w:rPr>
        <w:footnoteRef/>
      </w:r>
      <w:r w:rsidRPr="00FE7F1F">
        <w:rPr>
          <w:rFonts w:cs="Abz-2 (Badr)" w:hint="cs"/>
          <w:rtl/>
          <w:lang w:bidi="fa-IR"/>
        </w:rPr>
        <w:t> </w:t>
      </w:r>
      <w:r w:rsidRPr="00FE7F1F">
        <w:rPr>
          <w:rFonts w:cs="Abz-2 (Badr)" w:hint="cs"/>
          <w:rtl/>
          <w:lang w:bidi="fa-IR"/>
        </w:rPr>
        <w:t>ـ بقره(2):233.</w:t>
      </w:r>
    </w:p>
  </w:footnote>
  <w:footnote w:id="7">
    <w:p w14:paraId="58D2181A" w14:textId="77777777" w:rsidR="0030209B" w:rsidRPr="00FE7F1F" w:rsidRDefault="0030209B" w:rsidP="001017A3">
      <w:pPr>
        <w:widowControl w:val="0"/>
        <w:bidi/>
        <w:spacing w:after="0" w:line="240" w:lineRule="auto"/>
        <w:jc w:val="both"/>
        <w:rPr>
          <w:rFonts w:cs="Abz-2 (Badr)"/>
          <w:sz w:val="20"/>
          <w:szCs w:val="20"/>
          <w:rtl/>
          <w:lang w:bidi="fa-IR"/>
        </w:rPr>
      </w:pPr>
      <w:r w:rsidRPr="00FE7F1F">
        <w:rPr>
          <w:rStyle w:val="FootnoteReference"/>
          <w:rFonts w:cs="Abz-2 (Badr)"/>
          <w:sz w:val="20"/>
          <w:szCs w:val="20"/>
          <w:vertAlign w:val="baseline"/>
        </w:rPr>
        <w:footnoteRef/>
      </w:r>
      <w:r w:rsidRPr="00FE7F1F">
        <w:rPr>
          <w:rFonts w:cs="Abz-2 (Badr)"/>
          <w:sz w:val="20"/>
          <w:szCs w:val="20"/>
        </w:rPr>
        <w:t xml:space="preserve"> </w:t>
      </w:r>
      <w:r w:rsidRPr="00FE7F1F">
        <w:rPr>
          <w:rFonts w:cs="Abz-2 (Badr)" w:hint="cs"/>
          <w:sz w:val="20"/>
          <w:szCs w:val="20"/>
          <w:rtl/>
        </w:rPr>
        <w:t>ـ جواهر،ج31،ص293.</w:t>
      </w:r>
    </w:p>
  </w:footnote>
  <w:footnote w:id="8">
    <w:p w14:paraId="0EF3952F" w14:textId="77777777" w:rsidR="0030209B" w:rsidRPr="00FE7F1F" w:rsidRDefault="0030209B" w:rsidP="001017A3">
      <w:pPr>
        <w:widowControl w:val="0"/>
        <w:bidi/>
        <w:spacing w:after="0" w:line="240" w:lineRule="auto"/>
        <w:jc w:val="both"/>
        <w:rPr>
          <w:rFonts w:cs="Abz-2 (Badr)"/>
          <w:sz w:val="20"/>
          <w:szCs w:val="20"/>
          <w:rtl/>
          <w:lang w:bidi="fa-IR"/>
        </w:rPr>
      </w:pPr>
      <w:r w:rsidRPr="00FE7F1F">
        <w:rPr>
          <w:rStyle w:val="FootnoteReference"/>
          <w:rFonts w:cs="Abz-2 (Badr)"/>
          <w:sz w:val="20"/>
          <w:szCs w:val="20"/>
          <w:vertAlign w:val="baseline"/>
        </w:rPr>
        <w:footnoteRef/>
      </w:r>
      <w:r w:rsidRPr="00FE7F1F">
        <w:rPr>
          <w:rFonts w:cs="Abz-2 (Badr)"/>
          <w:sz w:val="20"/>
          <w:szCs w:val="20"/>
        </w:rPr>
        <w:t xml:space="preserve"> </w:t>
      </w:r>
      <w:r w:rsidRPr="00FE7F1F">
        <w:rPr>
          <w:rFonts w:cs="Abz-2 (Badr)" w:hint="cs"/>
          <w:sz w:val="20"/>
          <w:szCs w:val="20"/>
          <w:rtl/>
        </w:rPr>
        <w:t xml:space="preserve">ـ </w:t>
      </w:r>
      <w:r w:rsidRPr="00FE7F1F">
        <w:rPr>
          <w:rFonts w:cs="Abz-2 (Badr)" w:hint="cs"/>
          <w:sz w:val="20"/>
          <w:szCs w:val="20"/>
          <w:rtl/>
        </w:rPr>
        <w:t>تلخيص المرام،ص215.</w:t>
      </w:r>
    </w:p>
  </w:footnote>
  <w:footnote w:id="9">
    <w:p w14:paraId="31AEE997" w14:textId="77777777" w:rsidR="0030209B" w:rsidRPr="00FE7F1F" w:rsidRDefault="0030209B" w:rsidP="001017A3">
      <w:pPr>
        <w:widowControl w:val="0"/>
        <w:bidi/>
        <w:spacing w:after="0" w:line="240" w:lineRule="auto"/>
        <w:jc w:val="both"/>
        <w:rPr>
          <w:rFonts w:cs="Abz-2 (Badr)"/>
          <w:sz w:val="20"/>
          <w:szCs w:val="20"/>
          <w:rtl/>
          <w:lang w:bidi="fa-IR"/>
        </w:rPr>
      </w:pPr>
      <w:r w:rsidRPr="00FE7F1F">
        <w:rPr>
          <w:rStyle w:val="FootnoteReference"/>
          <w:rFonts w:cs="Abz-2 (Badr)"/>
          <w:sz w:val="20"/>
          <w:szCs w:val="20"/>
          <w:vertAlign w:val="baseline"/>
        </w:rPr>
        <w:footnoteRef/>
      </w:r>
      <w:r w:rsidRPr="00FE7F1F">
        <w:rPr>
          <w:rFonts w:cs="Abz-2 (Badr)"/>
          <w:sz w:val="20"/>
          <w:szCs w:val="20"/>
        </w:rPr>
        <w:t xml:space="preserve"> </w:t>
      </w:r>
      <w:r w:rsidRPr="00FE7F1F">
        <w:rPr>
          <w:rFonts w:cs="Abz-2 (Badr)" w:hint="cs"/>
          <w:sz w:val="20"/>
          <w:szCs w:val="20"/>
          <w:rtl/>
        </w:rPr>
        <w:t xml:space="preserve">ـ </w:t>
      </w:r>
      <w:r w:rsidRPr="00FE7F1F">
        <w:rPr>
          <w:rFonts w:cs="Abz-2 (Badr)" w:hint="cs"/>
          <w:sz w:val="20"/>
          <w:szCs w:val="20"/>
          <w:rtl/>
        </w:rPr>
        <w:t>ارشاد،ج2،ص40.</w:t>
      </w:r>
    </w:p>
  </w:footnote>
  <w:footnote w:id="10">
    <w:p w14:paraId="1E442491" w14:textId="77777777" w:rsidR="0030209B" w:rsidRPr="00FE7F1F" w:rsidRDefault="0030209B" w:rsidP="001017A3">
      <w:pPr>
        <w:widowControl w:val="0"/>
        <w:bidi/>
        <w:spacing w:after="0" w:line="240" w:lineRule="auto"/>
        <w:jc w:val="both"/>
        <w:rPr>
          <w:rFonts w:cs="Abz-2 (Badr)"/>
          <w:sz w:val="20"/>
          <w:szCs w:val="20"/>
          <w:rtl/>
          <w:lang w:bidi="fa-IR"/>
        </w:rPr>
      </w:pPr>
      <w:r w:rsidRPr="00FE7F1F">
        <w:rPr>
          <w:rStyle w:val="FootnoteReference"/>
          <w:rFonts w:cs="Abz-2 (Badr)"/>
          <w:sz w:val="20"/>
          <w:szCs w:val="20"/>
          <w:vertAlign w:val="baseline"/>
        </w:rPr>
        <w:footnoteRef/>
      </w:r>
      <w:r w:rsidRPr="00FE7F1F">
        <w:rPr>
          <w:rFonts w:cs="Abz-2 (Badr)"/>
          <w:sz w:val="20"/>
          <w:szCs w:val="20"/>
        </w:rPr>
        <w:t xml:space="preserve"> </w:t>
      </w:r>
      <w:r w:rsidRPr="00FE7F1F">
        <w:rPr>
          <w:rFonts w:cs="Abz-2 (Badr)" w:hint="cs"/>
          <w:sz w:val="20"/>
          <w:szCs w:val="20"/>
          <w:rtl/>
        </w:rPr>
        <w:t xml:space="preserve">ـ </w:t>
      </w:r>
      <w:r w:rsidRPr="00FE7F1F">
        <w:rPr>
          <w:rFonts w:cs="Abz-2 (Badr)" w:hint="cs"/>
          <w:sz w:val="20"/>
          <w:szCs w:val="20"/>
          <w:rtl/>
        </w:rPr>
        <w:t>مسالك،ج8،ص427.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6D90" w14:textId="77777777" w:rsidR="00654038" w:rsidRDefault="0065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78A63E90"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54038">
                            <w:rPr>
                              <w:rFonts w:cs="B Mehr" w:hint="cs"/>
                              <w:rtl/>
                              <w:lang w:bidi="fa-IR"/>
                            </w:rPr>
                            <w:t>دو</w:t>
                          </w:r>
                          <w:r w:rsidR="00615E80">
                            <w:rPr>
                              <w:rFonts w:cs="B Mehr" w:hint="cs"/>
                              <w:rtl/>
                              <w:lang w:bidi="fa-IR"/>
                            </w:rPr>
                            <w:t>شنبه</w:t>
                          </w:r>
                          <w:r>
                            <w:rPr>
                              <w:rFonts w:cs="B Mehr" w:hint="cs"/>
                              <w:rtl/>
                              <w:lang w:bidi="fa-IR"/>
                            </w:rPr>
                            <w:t xml:space="preserve"> </w:t>
                          </w:r>
                          <w:r>
                            <w:rPr>
                              <w:rFonts w:cs="B Mehr" w:hint="cs"/>
                              <w:rtl/>
                            </w:rPr>
                            <w:t xml:space="preserve">،   </w:t>
                          </w:r>
                          <w:r w:rsidR="00654038">
                            <w:rPr>
                              <w:rFonts w:cs="B Mehr" w:hint="cs"/>
                              <w:rtl/>
                            </w:rPr>
                            <w:t>08</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78A63E90"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54038">
                      <w:rPr>
                        <w:rFonts w:cs="B Mehr" w:hint="cs"/>
                        <w:rtl/>
                        <w:lang w:bidi="fa-IR"/>
                      </w:rPr>
                      <w:t>دو</w:t>
                    </w:r>
                    <w:r w:rsidR="00615E80">
                      <w:rPr>
                        <w:rFonts w:cs="B Mehr" w:hint="cs"/>
                        <w:rtl/>
                        <w:lang w:bidi="fa-IR"/>
                      </w:rPr>
                      <w:t>شنبه</w:t>
                    </w:r>
                    <w:r>
                      <w:rPr>
                        <w:rFonts w:cs="B Mehr" w:hint="cs"/>
                        <w:rtl/>
                        <w:lang w:bidi="fa-IR"/>
                      </w:rPr>
                      <w:t xml:space="preserve"> </w:t>
                    </w:r>
                    <w:r>
                      <w:rPr>
                        <w:rFonts w:cs="B Mehr" w:hint="cs"/>
                        <w:rtl/>
                      </w:rPr>
                      <w:t xml:space="preserve">،   </w:t>
                    </w:r>
                    <w:r w:rsidR="00654038">
                      <w:rPr>
                        <w:rFonts w:cs="B Mehr" w:hint="cs"/>
                        <w:rtl/>
                      </w:rPr>
                      <w:t>08</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6F03" w14:textId="77777777" w:rsidR="00654038" w:rsidRDefault="0065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7A3"/>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314"/>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89594236">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513699">
      <w:bodyDiv w:val="1"/>
      <w:marLeft w:val="0"/>
      <w:marRight w:val="0"/>
      <w:marTop w:val="0"/>
      <w:marBottom w:val="0"/>
      <w:divBdr>
        <w:top w:val="none" w:sz="0" w:space="0" w:color="auto"/>
        <w:left w:val="none" w:sz="0" w:space="0" w:color="auto"/>
        <w:bottom w:val="none" w:sz="0" w:space="0" w:color="auto"/>
        <w:right w:val="none" w:sz="0" w:space="0" w:color="auto"/>
      </w:divBdr>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21723</TotalTime>
  <Pages>1</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548</cp:revision>
  <cp:lastPrinted>2025-04-14T09:12:00Z</cp:lastPrinted>
  <dcterms:created xsi:type="dcterms:W3CDTF">2022-10-16T08:36:00Z</dcterms:created>
  <dcterms:modified xsi:type="dcterms:W3CDTF">2025-04-30T03:53:00Z</dcterms:modified>
</cp:coreProperties>
</file>